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49C67">
      <w:pPr>
        <w:jc w:val="center"/>
        <w:rPr>
          <w:rFonts w:hint="eastAsia" w:ascii="微软雅黑" w:hAnsi="微软雅黑" w:eastAsia="微软雅黑" w:cs="微软雅黑"/>
          <w:sz w:val="32"/>
          <w:szCs w:val="32"/>
        </w:rPr>
      </w:pPr>
      <w:r>
        <w:rPr>
          <w:rFonts w:hint="eastAsia" w:ascii="微软雅黑" w:hAnsi="微软雅黑" w:eastAsia="微软雅黑" w:cs="微软雅黑"/>
          <w:sz w:val="32"/>
          <w:szCs w:val="32"/>
        </w:rPr>
        <w:t>高塘石</w:t>
      </w:r>
      <w:r>
        <w:rPr>
          <w:rFonts w:hint="eastAsia" w:ascii="微软雅黑" w:hAnsi="微软雅黑" w:eastAsia="微软雅黑" w:cs="微软雅黑"/>
          <w:sz w:val="32"/>
          <w:szCs w:val="32"/>
          <w:lang w:val="en-US" w:eastAsia="zh-CN"/>
        </w:rPr>
        <w:t>园区</w:t>
      </w:r>
      <w:r>
        <w:rPr>
          <w:rFonts w:hint="eastAsia" w:ascii="微软雅黑" w:hAnsi="微软雅黑" w:eastAsia="微软雅黑" w:cs="微软雅黑"/>
          <w:sz w:val="32"/>
          <w:szCs w:val="32"/>
        </w:rPr>
        <w:t>科研楼修缮工程招标采购需求文件</w:t>
      </w:r>
    </w:p>
    <w:p w14:paraId="1E9644FF">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2" w:firstLineChars="200"/>
        <w:textAlignment w:val="auto"/>
        <w:rPr>
          <w:rFonts w:hint="eastAsia" w:ascii="黑体" w:hAnsi="黑体" w:eastAsia="黑体" w:cs="黑体"/>
          <w:sz w:val="28"/>
          <w:szCs w:val="28"/>
        </w:rPr>
      </w:pPr>
    </w:p>
    <w:p w14:paraId="45F45582">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2" w:firstLineChars="200"/>
        <w:textAlignment w:val="auto"/>
        <w:rPr>
          <w:rFonts w:hint="eastAsia" w:ascii="黑体" w:hAnsi="黑体" w:eastAsia="黑体" w:cs="黑体"/>
          <w:sz w:val="28"/>
          <w:szCs w:val="28"/>
        </w:rPr>
      </w:pPr>
      <w:r>
        <w:rPr>
          <w:rFonts w:hint="eastAsia" w:ascii="黑体" w:hAnsi="黑体" w:eastAsia="黑体" w:cs="黑体"/>
          <w:sz w:val="28"/>
          <w:szCs w:val="28"/>
        </w:rPr>
        <w:t>一、项目概况</w:t>
      </w:r>
    </w:p>
    <w:p w14:paraId="571BCED2">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1．项目名称：广东省科学院生物与医学工程研究所2026年高塘石园区科研楼修缮工程采购项目</w:t>
      </w:r>
    </w:p>
    <w:p w14:paraId="048A64BA">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sz w:val="28"/>
          <w:szCs w:val="28"/>
        </w:rPr>
        <w:t>2．采购单位：广东省科学</w:t>
      </w:r>
      <w:r>
        <w:rPr>
          <w:rFonts w:hint="eastAsia" w:ascii="方正仿宋_GB2312" w:hAnsi="方正仿宋_GB2312" w:eastAsia="方正仿宋_GB2312" w:cs="方正仿宋_GB2312"/>
          <w:b w:val="0"/>
          <w:bCs w:val="0"/>
          <w:sz w:val="28"/>
          <w:szCs w:val="28"/>
        </w:rPr>
        <w:t xml:space="preserve">院生物与医学工程研究所 </w:t>
      </w:r>
    </w:p>
    <w:p w14:paraId="7AFEF98A">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 xml:space="preserve">3．项目地点：广州市天河区高科路 36 号 </w:t>
      </w:r>
    </w:p>
    <w:p w14:paraId="6C80E362">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 xml:space="preserve">4．项目预算（最高限价）：人民币 </w:t>
      </w:r>
      <w:r>
        <w:rPr>
          <w:rStyle w:val="10"/>
          <w:rFonts w:hint="eastAsia" w:ascii="方正仿宋_GB2312" w:hAnsi="方正仿宋_GB2312" w:eastAsia="方正仿宋_GB2312" w:cs="方正仿宋_GB2312"/>
          <w:b w:val="0"/>
          <w:bCs w:val="0"/>
          <w:sz w:val="28"/>
          <w:szCs w:val="28"/>
        </w:rPr>
        <w:t>2</w:t>
      </w:r>
      <w:r>
        <w:rPr>
          <w:rStyle w:val="10"/>
          <w:rFonts w:hint="eastAsia" w:ascii="方正仿宋_GB2312" w:hAnsi="方正仿宋_GB2312" w:eastAsia="方正仿宋_GB2312" w:cs="方正仿宋_GB2312"/>
          <w:b w:val="0"/>
          <w:bCs w:val="0"/>
          <w:sz w:val="28"/>
          <w:szCs w:val="28"/>
          <w:lang w:val="en-US" w:eastAsia="zh-CN"/>
        </w:rPr>
        <w:t>18</w:t>
      </w:r>
      <w:r>
        <w:rPr>
          <w:rStyle w:val="10"/>
          <w:rFonts w:hint="eastAsia" w:ascii="方正仿宋_GB2312" w:hAnsi="方正仿宋_GB2312" w:eastAsia="方正仿宋_GB2312" w:cs="方正仿宋_GB2312"/>
          <w:b w:val="0"/>
          <w:bCs w:val="0"/>
          <w:sz w:val="28"/>
          <w:szCs w:val="28"/>
        </w:rPr>
        <w:t>000.00 元（含税）</w:t>
      </w:r>
      <w:r>
        <w:rPr>
          <w:rFonts w:hint="eastAsia" w:ascii="方正仿宋_GB2312" w:hAnsi="方正仿宋_GB2312" w:eastAsia="方正仿宋_GB2312" w:cs="方正仿宋_GB2312"/>
          <w:b w:val="0"/>
          <w:bCs w:val="0"/>
          <w:sz w:val="28"/>
          <w:szCs w:val="28"/>
        </w:rPr>
        <w:t>，包含全部材料、人工、机械、运输、垃圾清运、高空作业、管理费、税金等一切相关费用，采购人不再支付其他任何费用。</w:t>
      </w:r>
    </w:p>
    <w:p w14:paraId="2B5BCE67">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5．项目目的：完成科研楼外观形象提升与结构安全加固，消除楼宇现有漏水、防护缺失等安全隐患，优化园区科研办公环境。</w:t>
      </w:r>
    </w:p>
    <w:p w14:paraId="0AD0CB01">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 xml:space="preserve">6．施工周期要求：总工期不超过 </w:t>
      </w:r>
      <w:r>
        <w:rPr>
          <w:rStyle w:val="10"/>
          <w:rFonts w:hint="eastAsia" w:ascii="方正仿宋_GB2312" w:hAnsi="方正仿宋_GB2312" w:eastAsia="方正仿宋_GB2312" w:cs="方正仿宋_GB2312"/>
          <w:b w:val="0"/>
          <w:bCs w:val="0"/>
          <w:sz w:val="28"/>
          <w:szCs w:val="28"/>
        </w:rPr>
        <w:t>36 个工作日</w:t>
      </w:r>
      <w:r>
        <w:rPr>
          <w:rFonts w:hint="eastAsia" w:ascii="方正仿宋_GB2312" w:hAnsi="方正仿宋_GB2312" w:eastAsia="方正仿宋_GB2312" w:cs="方正仿宋_GB2312"/>
          <w:b w:val="0"/>
          <w:bCs w:val="0"/>
          <w:sz w:val="28"/>
          <w:szCs w:val="28"/>
        </w:rPr>
        <w:t>，具体工期节点要求详见本文件第三条。</w:t>
      </w:r>
    </w:p>
    <w:p w14:paraId="73F3205F">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二、采购需求（工程内容及技术要求）</w:t>
      </w:r>
    </w:p>
    <w:p w14:paraId="7B81788C">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本项目工程内容分为外墙修缮工程、结构安全修缮工程、楼顶发光字标识牌安装工程、供水系统维修工程四大类。所有材料、施工工艺必须符合国家现行建筑工程施工规范及质量验收标准。</w:t>
      </w:r>
    </w:p>
    <w:p w14:paraId="31CA2C7C">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楷体" w:hAnsi="楷体" w:eastAsia="楷体" w:cs="楷体"/>
          <w:b w:val="0"/>
          <w:bCs w:val="0"/>
          <w:sz w:val="28"/>
          <w:szCs w:val="28"/>
        </w:rPr>
      </w:pPr>
      <w:r>
        <w:rPr>
          <w:rFonts w:hint="eastAsia" w:ascii="楷体" w:hAnsi="楷体" w:eastAsia="楷体" w:cs="楷体"/>
          <w:b w:val="0"/>
          <w:bCs w:val="0"/>
          <w:sz w:val="28"/>
          <w:szCs w:val="28"/>
        </w:rPr>
        <w:t>（一）外墙修缮工程</w:t>
      </w:r>
    </w:p>
    <w:p w14:paraId="22A422B4">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 xml:space="preserve">1．施工范围：楼宇外立面约 1000㎡墙面。 </w:t>
      </w:r>
    </w:p>
    <w:p w14:paraId="5EFE2996">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 xml:space="preserve">2．施工内容及技术要求 </w:t>
      </w:r>
    </w:p>
    <w:p w14:paraId="0C272FBE">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jc w:val="left"/>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 xml:space="preserve">（1）墙面基层处理：全面清理墙面污渍、剥落层，修补裂缝、空鼓区域，打磨平整，确保基层无松动浮灰。 </w:t>
      </w:r>
    </w:p>
    <w:p w14:paraId="3099C7CC">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jc w:val="left"/>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 xml:space="preserve">（2）涂料施工：环保型外墙涂料，底漆 + 两遍面漆，完工后涂刷罩面油光；主色调采用深蓝色；涂料进场提供环保检测合格报告，耐候、耐水性能满足国家外墙涂料标准。 </w:t>
      </w:r>
    </w:p>
    <w:p w14:paraId="48E2AA98">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jc w:val="left"/>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 xml:space="preserve">（3）密封处理：窗框、空调外机与墙体缝隙做防水密封处理，防止渗水。 </w:t>
      </w:r>
    </w:p>
    <w:p w14:paraId="225B6994">
      <w:pPr>
        <w:pStyle w:val="7"/>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jc w:val="left"/>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（4）成品保护：施工期间对门窗、空调外机、地面绿化做全覆盖保护，避免施工污染损坏。</w:t>
      </w:r>
    </w:p>
    <w:p w14:paraId="54FB5626">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楷体" w:hAnsi="楷体" w:eastAsia="楷体" w:cs="楷体"/>
          <w:b w:val="0"/>
          <w:bCs w:val="0"/>
          <w:sz w:val="28"/>
          <w:szCs w:val="28"/>
        </w:rPr>
      </w:pPr>
      <w:r>
        <w:rPr>
          <w:rFonts w:hint="eastAsia" w:ascii="楷体" w:hAnsi="楷体" w:eastAsia="楷体" w:cs="楷体"/>
          <w:b w:val="0"/>
          <w:bCs w:val="0"/>
          <w:sz w:val="28"/>
          <w:szCs w:val="28"/>
        </w:rPr>
        <w:t>（二）结构安全修缮工程</w:t>
      </w:r>
    </w:p>
    <w:p w14:paraId="5EEEB474">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firstLine="560" w:firstLineChars="200"/>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1．副楼顶中央空调主机房露台设施</w:t>
      </w:r>
    </w:p>
    <w:tbl>
      <w:tblPr>
        <w:tblStyle w:val="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6"/>
        <w:gridCol w:w="1568"/>
        <w:gridCol w:w="4283"/>
        <w:gridCol w:w="666"/>
        <w:gridCol w:w="1506"/>
      </w:tblGrid>
      <w:tr w14:paraId="644FC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89338">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479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项目名称</w:t>
            </w:r>
          </w:p>
        </w:tc>
        <w:tc>
          <w:tcPr>
            <w:tcW w:w="2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866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技术规格要求</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4CC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EA3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数量</w:t>
            </w:r>
          </w:p>
        </w:tc>
      </w:tr>
      <w:tr w14:paraId="09C7F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902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A12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304 不锈钢防护栏杆</w:t>
            </w:r>
          </w:p>
        </w:tc>
        <w:tc>
          <w:tcPr>
            <w:tcW w:w="2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633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Ф50 管 +Ф 38 管 + Ф25 管材质，高度 1.2 米，壁厚符合国家不锈钢护栏规范，材料厚度≥1.0mm</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CA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D18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w:t>
            </w:r>
          </w:p>
        </w:tc>
      </w:tr>
      <w:tr w14:paraId="187B3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CCA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FA2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304 不锈钢雨棚</w:t>
            </w:r>
          </w:p>
        </w:tc>
        <w:tc>
          <w:tcPr>
            <w:tcW w:w="2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E25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Ф38 管框架 + 不锈钢板，采用焊接固定，材料厚度≥1.0mm</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0D8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4951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18</w:t>
            </w:r>
          </w:p>
        </w:tc>
      </w:tr>
      <w:tr w14:paraId="1A71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7" w:hRule="atLeast"/>
        </w:trPr>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B29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9B2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304 不锈钢过桥</w:t>
            </w:r>
          </w:p>
        </w:tc>
        <w:tc>
          <w:tcPr>
            <w:tcW w:w="2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1872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Ф80 管 + Ф60 管 + 防滑钢板，承重符合园区安全要求，材料厚度≥1.0mm</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8B4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89C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r>
      <w:tr w14:paraId="5414A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A8447">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A35F3">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接缝防漏水</w:t>
            </w:r>
          </w:p>
        </w:tc>
        <w:tc>
          <w:tcPr>
            <w:tcW w:w="2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D4871">
            <w:pPr>
              <w:keepNext w:val="0"/>
              <w:keepLines w:val="0"/>
              <w:widowControl/>
              <w:suppressLineNumbers w:val="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主楼与副楼连接处做防漏水修补</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7038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米</w:t>
            </w:r>
          </w:p>
        </w:tc>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5418C">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r>
    </w:tbl>
    <w:p w14:paraId="764BF894">
      <w:pPr>
        <w:numPr>
          <w:ilvl w:val="0"/>
          <w:numId w:val="1"/>
        </w:numPr>
        <w:ind w:left="0" w:leftChars="0"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六楼天面隔热</w:t>
      </w:r>
      <w:r>
        <w:rPr>
          <w:rFonts w:hint="eastAsia" w:ascii="方正仿宋_GB2312" w:hAnsi="方正仿宋_GB2312" w:eastAsia="方正仿宋_GB2312" w:cs="方正仿宋_GB2312"/>
          <w:sz w:val="28"/>
          <w:szCs w:val="28"/>
          <w:lang w:val="en-US" w:eastAsia="zh-CN"/>
        </w:rPr>
        <w:t>层</w:t>
      </w:r>
      <w:r>
        <w:rPr>
          <w:rFonts w:hint="eastAsia" w:ascii="方正仿宋_GB2312" w:hAnsi="方正仿宋_GB2312" w:eastAsia="方正仿宋_GB2312" w:cs="方正仿宋_GB2312"/>
          <w:sz w:val="28"/>
          <w:szCs w:val="28"/>
        </w:rPr>
        <w:t>修缮及女儿墙</w:t>
      </w:r>
      <w:r>
        <w:rPr>
          <w:rFonts w:hint="eastAsia" w:ascii="方正仿宋_GB2312" w:hAnsi="方正仿宋_GB2312" w:eastAsia="方正仿宋_GB2312" w:cs="方正仿宋_GB2312"/>
          <w:sz w:val="28"/>
          <w:szCs w:val="28"/>
          <w:lang w:val="en-US" w:eastAsia="zh-CN"/>
        </w:rPr>
        <w:t>安全防护</w:t>
      </w:r>
    </w:p>
    <w:tbl>
      <w:tblPr>
        <w:tblStyle w:val="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8"/>
        <w:gridCol w:w="2062"/>
        <w:gridCol w:w="3736"/>
        <w:gridCol w:w="689"/>
        <w:gridCol w:w="1514"/>
      </w:tblGrid>
      <w:tr w14:paraId="2FAEF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1E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序号</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342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项目名称</w:t>
            </w:r>
          </w:p>
        </w:tc>
        <w:tc>
          <w:tcPr>
            <w:tcW w:w="2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672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技术规格要求</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4FD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单位</w:t>
            </w: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DDE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数量</w:t>
            </w:r>
          </w:p>
        </w:tc>
      </w:tr>
      <w:tr w14:paraId="08041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0B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1</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B97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透明阳光板更换</w:t>
            </w:r>
          </w:p>
        </w:tc>
        <w:tc>
          <w:tcPr>
            <w:tcW w:w="2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9C4D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全新抗老化透明阳光板，厚度符合屋面采光要求</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101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块</w:t>
            </w: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269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4</w:t>
            </w:r>
          </w:p>
        </w:tc>
      </w:tr>
      <w:tr w14:paraId="054EA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B0D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2</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0BEA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rPr>
              <w:t>女儿墙缺口不锈钢管加装防护</w:t>
            </w:r>
          </w:p>
        </w:tc>
        <w:tc>
          <w:tcPr>
            <w:tcW w:w="2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AE8B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Ф</w:t>
            </w:r>
            <w:r>
              <w:rPr>
                <w:rFonts w:hint="eastAsia" w:ascii="仿宋" w:hAnsi="仿宋" w:eastAsia="仿宋" w:cs="仿宋"/>
                <w:i w:val="0"/>
                <w:iCs w:val="0"/>
                <w:color w:val="000000"/>
                <w:sz w:val="22"/>
                <w:szCs w:val="22"/>
                <w:u w:val="none"/>
                <w:lang w:val="en-US" w:eastAsia="zh-CN"/>
              </w:rPr>
              <w:t>50 管 304 不锈钢材质</w:t>
            </w:r>
            <w:r>
              <w:rPr>
                <w:rFonts w:hint="eastAsia" w:ascii="仿宋" w:hAnsi="仿宋" w:eastAsia="仿宋" w:cs="仿宋"/>
                <w:i w:val="0"/>
                <w:iCs w:val="0"/>
                <w:color w:val="000000"/>
                <w:kern w:val="0"/>
                <w:sz w:val="22"/>
                <w:szCs w:val="22"/>
                <w:u w:val="none"/>
                <w:lang w:val="en-US" w:eastAsia="zh-CN" w:bidi="ar"/>
              </w:rPr>
              <w:t>，材料厚度≥1.0mm</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C43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米</w:t>
            </w: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9B9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4.5</w:t>
            </w:r>
          </w:p>
        </w:tc>
      </w:tr>
      <w:tr w14:paraId="55F86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F50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3</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F8E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天面杂物清理</w:t>
            </w:r>
          </w:p>
        </w:tc>
        <w:tc>
          <w:tcPr>
            <w:tcW w:w="2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70A8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全面拆除、清运天面余泥、杂物、垃圾，做到工完场清</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3F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项</w:t>
            </w: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3A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1</w:t>
            </w:r>
          </w:p>
        </w:tc>
      </w:tr>
      <w:tr w14:paraId="51AD7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367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4</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8C4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隔热水泥砖修复</w:t>
            </w:r>
          </w:p>
        </w:tc>
        <w:tc>
          <w:tcPr>
            <w:tcW w:w="2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EC6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修复破损隔热水泥砖的水泥沙面，确保屋面隔热层完整、无松动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2EA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w:t>
            </w: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F87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850</w:t>
            </w:r>
          </w:p>
        </w:tc>
      </w:tr>
      <w:tr w14:paraId="70212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25C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5</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F4E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天面雨水排水管改造</w:t>
            </w:r>
          </w:p>
        </w:tc>
        <w:tc>
          <w:tcPr>
            <w:tcW w:w="2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C8A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Ф</w:t>
            </w:r>
            <w:r>
              <w:rPr>
                <w:rFonts w:hint="eastAsia" w:ascii="仿宋" w:hAnsi="仿宋" w:eastAsia="仿宋" w:cs="仿宋"/>
                <w:i w:val="0"/>
                <w:iCs w:val="0"/>
                <w:color w:val="000000"/>
                <w:sz w:val="22"/>
                <w:szCs w:val="22"/>
                <w:u w:val="none"/>
                <w:lang w:val="en-US" w:eastAsia="zh-CN"/>
              </w:rPr>
              <w:t>110mmPVC 排水管，沿楼宇西侧改装，确保排水通畅、无渗漏</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97E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米</w:t>
            </w: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DF3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30</w:t>
            </w:r>
          </w:p>
        </w:tc>
      </w:tr>
    </w:tbl>
    <w:p w14:paraId="0D2464AA">
      <w:pPr>
        <w:numPr>
          <w:ilvl w:val="0"/>
          <w:numId w:val="1"/>
        </w:numPr>
        <w:ind w:left="0" w:leftChars="0"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通道及楼梯安全防护加</w:t>
      </w:r>
      <w:r>
        <w:rPr>
          <w:rFonts w:hint="eastAsia" w:ascii="方正仿宋_GB2312" w:hAnsi="方正仿宋_GB2312" w:eastAsia="方正仿宋_GB2312" w:cs="方正仿宋_GB2312"/>
          <w:sz w:val="28"/>
          <w:szCs w:val="28"/>
          <w:lang w:val="en-US" w:eastAsia="zh-CN"/>
        </w:rPr>
        <w:t>高</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4"/>
        <w:gridCol w:w="2008"/>
        <w:gridCol w:w="3770"/>
        <w:gridCol w:w="694"/>
        <w:gridCol w:w="1496"/>
      </w:tblGrid>
      <w:tr w14:paraId="22660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4"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5A9DE">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9AD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项目名称</w:t>
            </w:r>
          </w:p>
        </w:tc>
        <w:tc>
          <w:tcPr>
            <w:tcW w:w="22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0D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技术规格要求</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B7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F82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数量</w:t>
            </w:r>
          </w:p>
        </w:tc>
      </w:tr>
      <w:tr w14:paraId="728BF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5D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B5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通道加高防护不锈钢栏</w:t>
            </w:r>
          </w:p>
        </w:tc>
        <w:tc>
          <w:tcPr>
            <w:tcW w:w="22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BB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304 不锈钢Ф38 管材质，高度 30 厘米，固定牢固，材料厚度≥1.0mm</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6CA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E1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45</w:t>
            </w:r>
          </w:p>
        </w:tc>
      </w:tr>
      <w:tr w14:paraId="5052C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6A0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A99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楼梯防护加高不锈钢栏</w:t>
            </w:r>
          </w:p>
        </w:tc>
        <w:tc>
          <w:tcPr>
            <w:tcW w:w="22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4564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304 不锈钢Ф38 管材质，高度 1.2 米，符合楼梯安全防护规范，材料厚度≥1.0mm</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12A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743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r>
      <w:tr w14:paraId="0834D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13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8D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竣工现场清理</w:t>
            </w:r>
          </w:p>
        </w:tc>
        <w:tc>
          <w:tcPr>
            <w:tcW w:w="22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870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全项目完工垃圾清运，清洁施工区域</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22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c>
          <w:tcPr>
            <w:tcW w:w="8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547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bl>
    <w:p w14:paraId="37DA1F2B">
      <w:pPr>
        <w:numPr>
          <w:ilvl w:val="0"/>
          <w:numId w:val="0"/>
        </w:numPr>
        <w:ind w:firstLine="280" w:firstLineChars="100"/>
        <w:rPr>
          <w:rFonts w:hint="eastAsia" w:ascii="楷体" w:hAnsi="楷体" w:eastAsia="楷体" w:cs="楷体"/>
          <w:sz w:val="28"/>
          <w:szCs w:val="28"/>
        </w:rPr>
      </w:pPr>
      <w:r>
        <w:rPr>
          <w:rFonts w:hint="eastAsia" w:ascii="楷体" w:hAnsi="楷体" w:eastAsia="楷体" w:cs="楷体"/>
          <w:sz w:val="28"/>
          <w:szCs w:val="28"/>
        </w:rPr>
        <w:t>（三）楼顶发光字标识牌安装工程</w:t>
      </w:r>
    </w:p>
    <w:p w14:paraId="068A30D8">
      <w:pPr>
        <w:numPr>
          <w:ilvl w:val="0"/>
          <w:numId w:val="2"/>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标识内容：广东省科学院生物与医学工程研究所</w:t>
      </w:r>
    </w:p>
    <w:p w14:paraId="6BBA4A7C">
      <w:pPr>
        <w:numPr>
          <w:ilvl w:val="0"/>
          <w:numId w:val="2"/>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技术要求</w:t>
      </w:r>
    </w:p>
    <w:p w14:paraId="2C012001">
      <w:pPr>
        <w:numPr>
          <w:ilvl w:val="0"/>
          <w:numId w:val="3"/>
        </w:numPr>
        <w:ind w:firstLine="280" w:firstLineChars="1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不锈钢包边发光字共 16 个，单字规格 130cm×140cm；金属底框304 不锈钢板，板厚≥1.2mm + 亚克力面板，防水防晒</w:t>
      </w:r>
      <w:r>
        <w:rPr>
          <w:rFonts w:hint="eastAsia" w:ascii="方正仿宋_GB2312" w:hAnsi="方正仿宋_GB2312" w:eastAsia="方正仿宋_GB2312" w:cs="方正仿宋_GB2312"/>
          <w:sz w:val="28"/>
          <w:szCs w:val="28"/>
          <w:lang w:eastAsia="zh-CN"/>
        </w:rPr>
        <w:t>，高透户外级亚克力板（PMMA），厚度≥8mm，抗 UV 抗老化、不脆裂；字背底板304 不锈钢薄板≥1.0mm，封闭背板，防止鸟类、雨水、灰尘进入字腔</w:t>
      </w:r>
      <w:r>
        <w:rPr>
          <w:rFonts w:hint="eastAsia" w:ascii="方正仿宋_GB2312" w:hAnsi="方正仿宋_GB2312" w:eastAsia="方正仿宋_GB2312" w:cs="方正仿宋_GB2312"/>
          <w:sz w:val="28"/>
          <w:szCs w:val="28"/>
        </w:rPr>
        <w:t>。</w:t>
      </w:r>
    </w:p>
    <w:p w14:paraId="0FC20078">
      <w:pPr>
        <w:numPr>
          <w:ilvl w:val="0"/>
          <w:numId w:val="3"/>
        </w:numPr>
        <w:ind w:firstLine="280" w:firstLineChars="1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光源：户外防水 LED 模组，DC12V 低压，防水等级IP67</w:t>
      </w:r>
      <w:r>
        <w:rPr>
          <w:rFonts w:hint="eastAsia" w:ascii="方正仿宋_GB2312" w:hAnsi="方正仿宋_GB2312" w:eastAsia="方正仿宋_GB2312" w:cs="方正仿宋_GB2312"/>
          <w:sz w:val="28"/>
          <w:szCs w:val="28"/>
          <w:lang w:eastAsia="zh-CN"/>
        </w:rPr>
        <w:t>，</w:t>
      </w:r>
    </w:p>
    <w:p w14:paraId="2ECCA40E">
      <w:pPr>
        <w:numPr>
          <w:ilvl w:val="0"/>
          <w:numId w:val="3"/>
        </w:numPr>
        <w:ind w:firstLine="280" w:firstLineChars="1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配套钢结构支承架子、防水供电线路、时控开关，实现定时启闭；包含高空安装、防雷处理、灯光调试。</w:t>
      </w:r>
    </w:p>
    <w:p w14:paraId="770D4D75">
      <w:pPr>
        <w:numPr>
          <w:ilvl w:val="0"/>
          <w:numId w:val="3"/>
        </w:numPr>
        <w:ind w:firstLine="280" w:firstLineChars="1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质保：发光字整体质保≥3 年，质保期内免费维修更换故障部件。</w:t>
      </w:r>
    </w:p>
    <w:p w14:paraId="0F082218">
      <w:pPr>
        <w:numPr>
          <w:ilvl w:val="0"/>
          <w:numId w:val="0"/>
        </w:numPr>
        <w:ind w:firstLine="280" w:firstLineChars="100"/>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（四）供水系统维修工程</w:t>
      </w:r>
    </w:p>
    <w:p w14:paraId="5DB42B25">
      <w:pPr>
        <w:numPr>
          <w:ilvl w:val="0"/>
          <w:numId w:val="4"/>
        </w:numPr>
        <w:ind w:left="0" w:leftChars="0" w:firstLine="560" w:firstLineChars="200"/>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水泵房备用水泵故障修复；</w:t>
      </w:r>
    </w:p>
    <w:p w14:paraId="099B6AF5">
      <w:pPr>
        <w:numPr>
          <w:ilvl w:val="0"/>
          <w:numId w:val="4"/>
        </w:numPr>
        <w:ind w:left="0" w:leftChars="0" w:firstLine="560" w:firstLineChars="200"/>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一楼水泵房供水泵出口管道腐蚀段更换。</w:t>
      </w:r>
    </w:p>
    <w:p w14:paraId="4445AD21">
      <w:pPr>
        <w:numPr>
          <w:ilvl w:val="0"/>
          <w:numId w:val="0"/>
        </w:numPr>
        <w:rPr>
          <w:rFonts w:hint="eastAsia" w:ascii="黑体" w:hAnsi="黑体" w:eastAsia="黑体" w:cs="黑体"/>
          <w:sz w:val="28"/>
          <w:szCs w:val="28"/>
        </w:rPr>
      </w:pPr>
      <w:r>
        <w:rPr>
          <w:rFonts w:hint="eastAsia" w:ascii="黑体" w:hAnsi="黑体" w:eastAsia="黑体" w:cs="黑体"/>
          <w:sz w:val="28"/>
          <w:szCs w:val="28"/>
        </w:rPr>
        <w:t>三、工期及施工管理要求</w:t>
      </w:r>
    </w:p>
    <w:p w14:paraId="1675F290">
      <w:pPr>
        <w:numPr>
          <w:ilvl w:val="0"/>
          <w:numId w:val="5"/>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总工期：不超过 3</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rPr>
        <w:t xml:space="preserve"> 个工作日，具体节点要求如下：</w:t>
      </w:r>
    </w:p>
    <w:tbl>
      <w:tblPr>
        <w:tblStyle w:val="8"/>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5"/>
        <w:gridCol w:w="2112"/>
        <w:gridCol w:w="5183"/>
      </w:tblGrid>
      <w:tr w14:paraId="4B7A3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2F8F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施工阶段</w:t>
            </w:r>
          </w:p>
        </w:tc>
        <w:tc>
          <w:tcPr>
            <w:tcW w:w="1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066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工期要求</w:t>
            </w:r>
          </w:p>
        </w:tc>
        <w:tc>
          <w:tcPr>
            <w:tcW w:w="3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ECB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核心工作内容</w:t>
            </w:r>
          </w:p>
        </w:tc>
      </w:tr>
      <w:tr w14:paraId="002BE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06D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前期准备</w:t>
            </w:r>
          </w:p>
        </w:tc>
        <w:tc>
          <w:tcPr>
            <w:tcW w:w="1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4105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 个工作日内</w:t>
            </w:r>
          </w:p>
        </w:tc>
        <w:tc>
          <w:tcPr>
            <w:tcW w:w="3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2DF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签订合同后，完成材料样板核验、施工方案报备、现场围挡及安全防护</w:t>
            </w:r>
          </w:p>
        </w:tc>
      </w:tr>
      <w:tr w14:paraId="582C5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7C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主体施工</w:t>
            </w:r>
          </w:p>
        </w:tc>
        <w:tc>
          <w:tcPr>
            <w:tcW w:w="1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C6B7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 个工作日内</w:t>
            </w:r>
          </w:p>
        </w:tc>
        <w:tc>
          <w:tcPr>
            <w:tcW w:w="3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AC73">
            <w:pPr>
              <w:keepNext w:val="0"/>
              <w:keepLines w:val="0"/>
              <w:widowControl/>
              <w:suppressLineNumbers w:val="0"/>
              <w:jc w:val="left"/>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完成结构安全修缮、墙面基层处理及涂料施工、发光字场外制作加工</w:t>
            </w:r>
          </w:p>
        </w:tc>
      </w:tr>
      <w:tr w14:paraId="7B348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0383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安装收尾</w:t>
            </w:r>
          </w:p>
        </w:tc>
        <w:tc>
          <w:tcPr>
            <w:tcW w:w="1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82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 个工作日内</w:t>
            </w:r>
          </w:p>
        </w:tc>
        <w:tc>
          <w:tcPr>
            <w:tcW w:w="3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6071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完成发光字安装、护栏 / 雨棚等设施安装、现场清理</w:t>
            </w:r>
          </w:p>
        </w:tc>
      </w:tr>
      <w:tr w14:paraId="0B658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5AF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竣工验收</w:t>
            </w:r>
          </w:p>
        </w:tc>
        <w:tc>
          <w:tcPr>
            <w:tcW w:w="1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B608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 个工作日内</w:t>
            </w:r>
          </w:p>
        </w:tc>
        <w:tc>
          <w:tcPr>
            <w:tcW w:w="3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AEE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完成全部工程内容验收，签署验收确认单</w:t>
            </w:r>
          </w:p>
        </w:tc>
      </w:tr>
    </w:tbl>
    <w:p w14:paraId="7C0B2FD6">
      <w:pPr>
        <w:numPr>
          <w:ilvl w:val="0"/>
          <w:numId w:val="5"/>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施工管理要求</w:t>
      </w:r>
    </w:p>
    <w:p w14:paraId="4916004F">
      <w:pPr>
        <w:numPr>
          <w:ilvl w:val="0"/>
          <w:numId w:val="0"/>
        </w:num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（1）高空作业配备防滑、防坠设施，危险区域围挡警示；作业人员持证上岗。</w:t>
      </w:r>
    </w:p>
    <w:p w14:paraId="5F624688">
      <w:pPr>
        <w:numPr>
          <w:ilvl w:val="0"/>
          <w:numId w:val="0"/>
        </w:num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（2）错峰施工，避开工作日早高峰 8:30‑9:30、晚高峰 17:30</w:t>
      </w:r>
      <w:r>
        <w:rPr>
          <w:rFonts w:hint="eastAsia" w:ascii="方正仿宋_GB2312" w:hAnsi="方正仿宋_GB2312" w:eastAsia="方正仿宋_GB2312" w:cs="方正仿宋_GB2312"/>
          <w:sz w:val="28"/>
          <w:szCs w:val="28"/>
          <w:lang w:val="en-US" w:eastAsia="zh-CN"/>
        </w:rPr>
        <w:t>-</w:t>
      </w:r>
      <w:r>
        <w:rPr>
          <w:rFonts w:hint="eastAsia" w:ascii="方正仿宋_GB2312" w:hAnsi="方正仿宋_GB2312" w:eastAsia="方正仿宋_GB2312" w:cs="方正仿宋_GB2312"/>
          <w:sz w:val="28"/>
          <w:szCs w:val="28"/>
        </w:rPr>
        <w:t>18:30，减少对科研办公干扰。</w:t>
      </w:r>
    </w:p>
    <w:p w14:paraId="669350C2">
      <w:pPr>
        <w:numPr>
          <w:ilvl w:val="0"/>
          <w:numId w:val="0"/>
        </w:num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（3）每日清理现场垃圾，材料规范堆放，不得占用消防通道。</w:t>
      </w:r>
    </w:p>
    <w:p w14:paraId="165F79F5">
      <w:pPr>
        <w:numPr>
          <w:ilvl w:val="0"/>
          <w:numId w:val="0"/>
        </w:num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（4）所有材料进场前提交样板及合格证，经采购单位核验确认，方可进场使用；各工序经采购人验收合格，方可进入下道工序。屋面防水完成应做淋水试验，管道完成必须通水试压。</w:t>
      </w:r>
    </w:p>
    <w:p w14:paraId="197F2AEE">
      <w:pPr>
        <w:numPr>
          <w:ilvl w:val="0"/>
          <w:numId w:val="0"/>
        </w:numPr>
        <w:ind w:firstLine="560" w:firstLineChars="200"/>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5</w:t>
      </w:r>
      <w:r>
        <w:rPr>
          <w:rFonts w:hint="eastAsia" w:ascii="方正仿宋_GB2312" w:hAnsi="方正仿宋_GB2312" w:eastAsia="方正仿宋_GB2312" w:cs="方正仿宋_GB2312"/>
          <w:sz w:val="28"/>
          <w:szCs w:val="28"/>
        </w:rPr>
        <w:t>）施工垃圾废弃物全部由成交供应商负责清运至合规处置点</w:t>
      </w:r>
      <w:r>
        <w:rPr>
          <w:rFonts w:hint="eastAsia" w:ascii="方正仿宋_GB2312" w:hAnsi="方正仿宋_GB2312" w:eastAsia="方正仿宋_GB2312" w:cs="方正仿宋_GB2312"/>
          <w:sz w:val="28"/>
          <w:szCs w:val="28"/>
          <w:lang w:eastAsia="zh-CN"/>
        </w:rPr>
        <w:t>。</w:t>
      </w:r>
    </w:p>
    <w:p w14:paraId="1CA76EDE">
      <w:pPr>
        <w:numPr>
          <w:ilvl w:val="0"/>
          <w:numId w:val="0"/>
        </w:numPr>
        <w:ind w:firstLine="560" w:firstLineChars="200"/>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rPr>
        <w:t>）施工造成园区设施、绿化损坏，由成交供应商无偿修复或赔偿</w:t>
      </w:r>
      <w:r>
        <w:rPr>
          <w:rFonts w:hint="eastAsia" w:ascii="方正仿宋_GB2312" w:hAnsi="方正仿宋_GB2312" w:eastAsia="方正仿宋_GB2312" w:cs="方正仿宋_GB2312"/>
          <w:sz w:val="28"/>
          <w:szCs w:val="28"/>
          <w:lang w:eastAsia="zh-CN"/>
        </w:rPr>
        <w:t>。</w:t>
      </w:r>
    </w:p>
    <w:p w14:paraId="58986F9A">
      <w:pPr>
        <w:numPr>
          <w:ilvl w:val="0"/>
          <w:numId w:val="0"/>
        </w:num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rPr>
        <w:t>）供应商应自行踏勘项目现场，充分掌握现场环境与全部工程量；成交后不得以现场因素提出增加费用</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踏勘现场联系人：朱锡棋13610242075</w:t>
      </w:r>
      <w:r>
        <w:rPr>
          <w:rFonts w:hint="eastAsia" w:ascii="方正仿宋_GB2312" w:hAnsi="方正仿宋_GB2312" w:eastAsia="方正仿宋_GB2312" w:cs="方正仿宋_GB2312"/>
          <w:sz w:val="28"/>
          <w:szCs w:val="28"/>
        </w:rPr>
        <w:t>。</w:t>
      </w:r>
    </w:p>
    <w:p w14:paraId="2028F678">
      <w:pPr>
        <w:numPr>
          <w:ilvl w:val="0"/>
          <w:numId w:val="0"/>
        </w:numPr>
        <w:ind w:firstLine="560" w:firstLineChars="200"/>
        <w:rPr>
          <w:rFonts w:hint="eastAsia" w:ascii="方正仿宋_GB2312" w:hAnsi="方正仿宋_GB2312" w:eastAsia="方正仿宋_GB2312" w:cs="方正仿宋_GB2312"/>
          <w:sz w:val="28"/>
          <w:szCs w:val="28"/>
          <w:lang w:val="en-US" w:eastAsia="zh-CN"/>
        </w:rPr>
      </w:pPr>
    </w:p>
    <w:p w14:paraId="10F3F1ED">
      <w:pPr>
        <w:numPr>
          <w:ilvl w:val="0"/>
          <w:numId w:val="0"/>
        </w:numPr>
        <w:ind w:firstLine="560" w:firstLineChars="200"/>
        <w:rPr>
          <w:rFonts w:hint="eastAsia" w:ascii="黑体" w:hAnsi="黑体" w:eastAsia="黑体" w:cs="黑体"/>
          <w:sz w:val="28"/>
          <w:szCs w:val="28"/>
        </w:rPr>
      </w:pPr>
      <w:r>
        <w:rPr>
          <w:rFonts w:hint="eastAsia" w:ascii="黑体" w:hAnsi="黑体" w:eastAsia="黑体" w:cs="黑体"/>
          <w:sz w:val="28"/>
          <w:szCs w:val="28"/>
        </w:rPr>
        <w:t>四、供应商资格要求</w:t>
      </w:r>
    </w:p>
    <w:p w14:paraId="2290538A">
      <w:pPr>
        <w:numPr>
          <w:ilvl w:val="0"/>
          <w:numId w:val="6"/>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在中华人民共和国境内注册，独立法人，持有合法有效的营业执照；</w:t>
      </w:r>
    </w:p>
    <w:p w14:paraId="46B922E0">
      <w:pPr>
        <w:numPr>
          <w:ilvl w:val="0"/>
          <w:numId w:val="6"/>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供应商必须在广东政府采购智慧云平台电子卖场定点集市的装修工程或修缮工程供应商名录内；</w:t>
      </w:r>
    </w:p>
    <w:p w14:paraId="1CD86762">
      <w:pPr>
        <w:numPr>
          <w:ilvl w:val="0"/>
          <w:numId w:val="6"/>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须具备建筑装修装饰工程专业承包一级及以上资质，或建筑工程施工总承包乙级及以上资质（原建筑工程施工总承包三级及以上），同时具备有效的安全生产许可证；</w:t>
      </w:r>
    </w:p>
    <w:p w14:paraId="1243249A">
      <w:pPr>
        <w:numPr>
          <w:ilvl w:val="0"/>
          <w:numId w:val="6"/>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业绩：近 3 年具有至少 1 项同类修缮装修工程业绩（提供合同关键页复印件）；</w:t>
      </w:r>
    </w:p>
    <w:p w14:paraId="0A19F9CA">
      <w:pPr>
        <w:numPr>
          <w:ilvl w:val="0"/>
          <w:numId w:val="6"/>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项目负责人：具备二级及以上注册建造师，持有安全生产考核合格证书；</w:t>
      </w:r>
    </w:p>
    <w:p w14:paraId="28020EA5">
      <w:pPr>
        <w:numPr>
          <w:ilvl w:val="0"/>
          <w:numId w:val="6"/>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未列入信用中国失信被执行人、重大税收违法、政府采购严重违法失信名单；</w:t>
      </w:r>
    </w:p>
    <w:p w14:paraId="79510FEF">
      <w:pPr>
        <w:numPr>
          <w:ilvl w:val="0"/>
          <w:numId w:val="6"/>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本项目不接受联合体投标，严禁转包、违法分包</w:t>
      </w:r>
      <w:r>
        <w:rPr>
          <w:rFonts w:hint="eastAsia" w:ascii="方正仿宋_GB2312" w:hAnsi="方正仿宋_GB2312" w:eastAsia="方正仿宋_GB2312" w:cs="方正仿宋_GB2312"/>
          <w:sz w:val="28"/>
          <w:szCs w:val="28"/>
          <w:lang w:eastAsia="zh-CN"/>
        </w:rPr>
        <w:t>；</w:t>
      </w:r>
    </w:p>
    <w:p w14:paraId="15BEB6E9">
      <w:pPr>
        <w:numPr>
          <w:ilvl w:val="0"/>
          <w:numId w:val="6"/>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施工单位要落实高处作业人员持证（特种作业登高证）</w:t>
      </w:r>
      <w:r>
        <w:rPr>
          <w:rFonts w:hint="eastAsia" w:ascii="方正仿宋_GB2312" w:hAnsi="方正仿宋_GB2312" w:eastAsia="方正仿宋_GB2312" w:cs="方正仿宋_GB2312"/>
          <w:sz w:val="28"/>
          <w:szCs w:val="28"/>
          <w:lang w:eastAsia="zh-CN"/>
        </w:rPr>
        <w:t>。</w:t>
      </w:r>
    </w:p>
    <w:p w14:paraId="51D7F9B8">
      <w:pPr>
        <w:numPr>
          <w:ilvl w:val="0"/>
          <w:numId w:val="0"/>
        </w:numPr>
        <w:ind w:firstLine="560" w:firstLineChars="200"/>
        <w:rPr>
          <w:rFonts w:hint="eastAsia" w:ascii="黑体" w:hAnsi="黑体" w:eastAsia="黑体" w:cs="黑体"/>
          <w:sz w:val="28"/>
          <w:szCs w:val="28"/>
        </w:rPr>
      </w:pPr>
      <w:r>
        <w:rPr>
          <w:rFonts w:hint="eastAsia" w:ascii="黑体" w:hAnsi="黑体" w:eastAsia="黑体" w:cs="黑体"/>
          <w:sz w:val="28"/>
          <w:szCs w:val="28"/>
        </w:rPr>
        <w:t>五、商务要求</w:t>
      </w:r>
    </w:p>
    <w:p w14:paraId="70ED9A90">
      <w:pPr>
        <w:numPr>
          <w:ilvl w:val="0"/>
          <w:numId w:val="7"/>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付款方式</w:t>
      </w:r>
    </w:p>
    <w:p w14:paraId="6FCEF91B">
      <w:pPr>
        <w:numPr>
          <w:ilvl w:val="0"/>
          <w:numId w:val="8"/>
        </w:numPr>
        <w:ind w:left="0" w:leftChars="0" w:firstLine="42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合同签订后15个工作日内，支付合同总金额30% 预付款；</w:t>
      </w:r>
    </w:p>
    <w:p w14:paraId="36C143BC">
      <w:pPr>
        <w:numPr>
          <w:ilvl w:val="0"/>
          <w:numId w:val="8"/>
        </w:numPr>
        <w:ind w:left="0" w:leftChars="0" w:firstLine="42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全部工程完工、竣工验收合格后15个工作日内，支付至合同总额；</w:t>
      </w:r>
    </w:p>
    <w:p w14:paraId="5ABB157F">
      <w:pPr>
        <w:numPr>
          <w:ilvl w:val="0"/>
          <w:numId w:val="8"/>
        </w:numPr>
        <w:ind w:left="0" w:leftChars="0" w:firstLine="42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成交供应商提交合同总金额 5% 作为质保金，质保期满无质量问题15个工作日无息退还。</w:t>
      </w:r>
    </w:p>
    <w:p w14:paraId="635C5CF6">
      <w:pPr>
        <w:numPr>
          <w:ilvl w:val="0"/>
          <w:numId w:val="7"/>
        </w:numPr>
        <w:ind w:left="0" w:leftChars="0" w:firstLine="42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质保期</w:t>
      </w:r>
    </w:p>
    <w:p w14:paraId="62604434">
      <w:pPr>
        <w:numPr>
          <w:ilvl w:val="0"/>
          <w:numId w:val="9"/>
        </w:numPr>
        <w:ind w:left="0" w:leftChars="0" w:firstLine="42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整体工程质保期不少于2 年，自竣工验收合格之日起算；</w:t>
      </w:r>
    </w:p>
    <w:p w14:paraId="7E7CD993">
      <w:pPr>
        <w:numPr>
          <w:ilvl w:val="0"/>
          <w:numId w:val="9"/>
        </w:numPr>
        <w:ind w:left="0" w:leftChars="0" w:firstLine="42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发光字标识牌质保不低于3 年；</w:t>
      </w:r>
    </w:p>
    <w:p w14:paraId="40AF04F2">
      <w:pPr>
        <w:numPr>
          <w:ilvl w:val="0"/>
          <w:numId w:val="9"/>
        </w:numPr>
        <w:ind w:left="0" w:leftChars="0" w:firstLine="42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接到维修通知 24 小时响应，48 小时到场维修；紧急故障及时处置。</w:t>
      </w:r>
    </w:p>
    <w:p w14:paraId="5E0B0A85">
      <w:pPr>
        <w:numPr>
          <w:ilvl w:val="0"/>
          <w:numId w:val="7"/>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验收标准：以本采购需求文件、投标文件、国家现行建筑工程施工质量验收规范作为验收依据，分初步分项验收、整体竣工验收。</w:t>
      </w:r>
    </w:p>
    <w:p w14:paraId="38F32DC7">
      <w:pPr>
        <w:numPr>
          <w:ilvl w:val="0"/>
          <w:numId w:val="7"/>
        </w:numPr>
        <w:ind w:left="0" w:leftChars="0" w:firstLine="400" w:firstLineChars="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违约责任</w:t>
      </w:r>
    </w:p>
    <w:p w14:paraId="1141520E">
      <w:pPr>
        <w:numPr>
          <w:ilvl w:val="0"/>
          <w:numId w:val="10"/>
        </w:numPr>
        <w:ind w:left="0" w:leftChars="0" w:firstLine="560" w:firstLineChars="200"/>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非不可抗力逾期完工，每逾期一日按合同总金额 0.5‰计付违约金；逾期 7 天采购人有权解除合同并追偿损失。</w:t>
      </w:r>
    </w:p>
    <w:p w14:paraId="4E615881">
      <w:pPr>
        <w:numPr>
          <w:ilvl w:val="0"/>
          <w:numId w:val="10"/>
        </w:numPr>
        <w:ind w:left="0" w:leftChars="0"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工程质量不达标，供应商无偿返工修复，并承担全部损失</w:t>
      </w:r>
      <w:r>
        <w:rPr>
          <w:rFonts w:hint="eastAsia" w:ascii="方正仿宋_GB2312" w:hAnsi="方正仿宋_GB2312" w:eastAsia="方正仿宋_GB2312" w:cs="方正仿宋_GB2312"/>
          <w:sz w:val="28"/>
          <w:szCs w:val="28"/>
        </w:rPr>
        <w:t>。</w:t>
      </w:r>
    </w:p>
    <w:p w14:paraId="62749BB4">
      <w:pPr>
        <w:numPr>
          <w:ilvl w:val="0"/>
          <w:numId w:val="0"/>
        </w:numPr>
        <w:ind w:firstLine="560" w:firstLineChars="200"/>
        <w:rPr>
          <w:rFonts w:hint="default" w:ascii="黑体" w:hAnsi="黑体" w:eastAsia="黑体" w:cs="黑体"/>
          <w:sz w:val="28"/>
          <w:szCs w:val="28"/>
          <w:lang w:val="en-US" w:eastAsia="zh-CN"/>
        </w:rPr>
      </w:pPr>
      <w:r>
        <w:rPr>
          <w:rFonts w:hint="eastAsia" w:ascii="黑体" w:hAnsi="黑体" w:eastAsia="黑体" w:cs="黑体"/>
          <w:sz w:val="28"/>
          <w:szCs w:val="28"/>
        </w:rPr>
        <w:t>六、评标评分标准</w:t>
      </w:r>
    </w:p>
    <w:p w14:paraId="54D80D9D">
      <w:pPr>
        <w:numPr>
          <w:ilvl w:val="0"/>
          <w:numId w:val="0"/>
        </w:num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本项目采用综合评分法，总分 100 分，评分因素及分值设置如下：</w:t>
      </w:r>
    </w:p>
    <w:tbl>
      <w:tblPr>
        <w:tblStyle w:val="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0"/>
        <w:gridCol w:w="973"/>
        <w:gridCol w:w="813"/>
        <w:gridCol w:w="6203"/>
      </w:tblGrid>
      <w:tr w14:paraId="52036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F4D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A3D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评分因素</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06F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分值</w:t>
            </w:r>
          </w:p>
        </w:tc>
        <w:tc>
          <w:tcPr>
            <w:tcW w:w="3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37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评分细则</w:t>
            </w:r>
          </w:p>
        </w:tc>
      </w:tr>
      <w:tr w14:paraId="4FBBB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83C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1D1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价格部分</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BE48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30 分</w:t>
            </w:r>
          </w:p>
        </w:tc>
        <w:tc>
          <w:tcPr>
            <w:tcW w:w="3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988A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满足采购文件全部实质性需求的有效投标报价中，取最低报价为评标基准价。投标报价得分＝(评标基准价 ÷ 投标报价)×30。注：投标报价高于本项目最高限价人民币 218000.00 元，按无效投标处理。。</w:t>
            </w:r>
          </w:p>
        </w:tc>
      </w:tr>
      <w:tr w14:paraId="24AB1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68B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18E1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技术部分</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83DC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50 分</w:t>
            </w:r>
          </w:p>
        </w:tc>
        <w:tc>
          <w:tcPr>
            <w:tcW w:w="3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C057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1、施工方案完整性（15 分）13‑15 分：施工方案完整全面，包含施工总体部署、四大工程（外墙修缮、结构安全修缮、楼顶发光字、供水维修）分部分项施工工艺、36 个工作日工期分解及节点保障、淋水 / 通水试压专项方案、成品保护方案；充分结合本项目现场实际，针对性强，可落地。9‑12 分：施工方案较完整，包含主要施工内容、工期安排，主要工艺基本可行，但针对本项目现场针对性一般，部分细节缺项。5‑8 分：方案内容简单，部分分部分项工艺缺失，工期节点保障措施不够充分。0‑4 分：方案严重缺项，关键工序缺失，无合理工期管控措施。</w:t>
            </w:r>
          </w:p>
          <w:p w14:paraId="2BCE9DC7">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 材料选用与质量保障（10 分）8‑10 分：所有主要材料（外墙涂料、304 不锈钢管材、阳光板、PVC 排水管、发光字组件、水泵管件等）均明确品牌、规格型号、技术参数，完全满足采购文件技术要求；提供质量管控、材料进场核验、样板确认管理措施，质保检验措施完善。5‑7 分：主要材料参数基本满足需求，部分材料未明确品牌，质量保障措施基本齐全。2‑4 分：部分关键材料规格不满足采购文件要求，材料管控措施简略。0‑1 分：关键材料不响应需求，无材料质量管控方案。</w:t>
            </w:r>
          </w:p>
          <w:p w14:paraId="24812DB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3、安全文明施工措施（10 分）8‑10 分：高空作业、登高特种作业管理方案完善；人员持证上岗管理、高空防坠防护、现场围挡警示、错峰施工（避开早晚办公高峰）、消防通道管控、垃圾每日清运、绿化及成品保护、应急处置方案完整，贴合园区科研办公场景。5‑7 分：具备安全文明施工主要措施，高空作业、错峰施工有说明，但部分管控细节不够完善。2‑4 分：安全文明施工内容简单，高空作业、错峰施工等本项目重点要求缺项。0‑1 分：无对应安全文明施工方案。</w:t>
            </w:r>
          </w:p>
          <w:p w14:paraId="5323E0D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4、质保及售后服务（5 分）4‑5 分：完全响应整体工程≥2 年质保、发光字≥3 年质保；明确 24 小时响应、48 小时到场维修，提供质保期内巡检计划、紧急故障处置预案。2‑3 分：质保年限满足要求，有售后响应机制，但缺少巡检、应急处置细节。0‑1 分：质保年限不满足采购文件要求。</w:t>
            </w:r>
          </w:p>
          <w:p w14:paraId="3BC1B5F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5、项目理解与优化建议（6 分）5‑6 分：充分理解本科研楼修缮项目风险点（高空作业、科研办公干扰、屋面防水、漏水隐患、标识安装防雷等），结合现场情况提出合理优化建议，具备可实施性。3‑4 分：理解项目基本需求，有简单优化建议，但针对性一般。1‑2 分：对项目理解浅显，优化建议空洞。0 分：无项目理解及优化建议。</w:t>
            </w:r>
          </w:p>
          <w:p w14:paraId="5F7E14BE">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6、投标文件规范性（4 分）3‑4 分：投标文件编制规范，目录清晰，资料完整，页码齐全，响应采购文件全部要求，无错漏。1‑2 分：文件基本完整，但存在部分资料编排混乱、少量资料缺漏。0 分：投标文件混乱，关键资料缺失。</w:t>
            </w:r>
          </w:p>
        </w:tc>
      </w:tr>
      <w:tr w14:paraId="69772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49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641E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商务部分</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F5ED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 分</w:t>
            </w:r>
          </w:p>
        </w:tc>
        <w:tc>
          <w:tcPr>
            <w:tcW w:w="3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CEAE1">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1、同类项目业绩（10 分）注：须提供合同关键页扫描件（合同首页、项目内容页、签章页），不提供不得分；业绩时间为近 3 年。8‑10 分：提供 3 项及以上建筑外立面修缮 / 楼宇结构修缮类同类工程业绩。4‑7 分：提供 2 项建筑外立面修缮 / 楼宇结构修缮类同类工程业绩。1‑3 分：提供 1 项建筑外立面修缮 / 楼宇结构修缮类同类工程业绩。0 分：无有效同类业绩。</w:t>
            </w:r>
          </w:p>
          <w:p w14:paraId="4174BEB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2、项目负责人资质经验（5 分）4‑5 分：具备二级及以上注册建造师证书 + 安全生产考核合格 B 证；同时提供近 3 年修缮工程担任项目负责人的业绩证明。2‑3 分：具备二级及以上注册建造师证书 + 安全生产考核合格 B 证，但无项目负责人相关业绩佐证。0‑1 分：不满足建造师或 B 证要求。</w:t>
            </w:r>
          </w:p>
          <w:p w14:paraId="553D4EAF">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3、企业资质等级（5 分）4‑5 分：具备建筑装修装饰工程专业承包一级资质，或建筑工程施工总承包乙级及以上资质，同时具备有效安全生产许可证。2‑3 分：具备建筑装修装饰工程专业承包二级资质，同时具备有效安全生产许可证。0 分：不满足采购文件资质基本门槛。</w:t>
            </w:r>
          </w:p>
        </w:tc>
      </w:tr>
    </w:tbl>
    <w:p w14:paraId="45A8EAD2">
      <w:pPr>
        <w:numPr>
          <w:ilvl w:val="0"/>
          <w:numId w:val="0"/>
        </w:numPr>
        <w:ind w:leftChars="200" w:firstLine="5320" w:firstLineChars="1900"/>
        <w:rPr>
          <w:rFonts w:hint="eastAsia" w:ascii="方正仿宋_GB2312" w:hAnsi="方正仿宋_GB2312" w:eastAsia="方正仿宋_GB2312" w:cs="方正仿宋_GB2312"/>
          <w:sz w:val="28"/>
          <w:szCs w:val="28"/>
          <w:lang w:val="en-US" w:eastAsia="zh-CN"/>
        </w:rPr>
      </w:pPr>
    </w:p>
    <w:p w14:paraId="02311EDA">
      <w:pPr>
        <w:numPr>
          <w:ilvl w:val="0"/>
          <w:numId w:val="11"/>
        </w:numPr>
        <w:ind w:firstLine="560" w:firstLineChars="20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外墙翻新效果图</w:t>
      </w:r>
    </w:p>
    <w:p w14:paraId="13EFA8AB">
      <w:pPr>
        <w:numPr>
          <w:numId w:val="0"/>
        </w:numPr>
        <w:ind w:left="400" w:leftChars="0"/>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b w:val="0"/>
          <w:bCs w:val="0"/>
          <w:sz w:val="32"/>
          <w:szCs w:val="32"/>
          <w:lang w:eastAsia="zh-CN"/>
        </w:rPr>
        <w:drawing>
          <wp:inline distT="0" distB="0" distL="114300" distR="114300">
            <wp:extent cx="5273040" cy="5273040"/>
            <wp:effectExtent l="0" t="0" r="3810" b="3810"/>
            <wp:docPr id="3" name="图片 3" descr="微信图片_20260109152151_66_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109152151_66_2045"/>
                    <pic:cNvPicPr>
                      <a:picLocks noChangeAspect="1"/>
                    </pic:cNvPicPr>
                  </pic:nvPicPr>
                  <pic:blipFill>
                    <a:blip r:embed="rId5"/>
                    <a:stretch>
                      <a:fillRect/>
                    </a:stretch>
                  </pic:blipFill>
                  <pic:spPr>
                    <a:xfrm>
                      <a:off x="0" y="0"/>
                      <a:ext cx="5273040" cy="5273040"/>
                    </a:xfrm>
                    <a:prstGeom prst="rect">
                      <a:avLst/>
                    </a:prstGeom>
                  </pic:spPr>
                </pic:pic>
              </a:graphicData>
            </a:graphic>
          </wp:inline>
        </w:drawing>
      </w:r>
    </w:p>
    <w:p w14:paraId="10BABBB8">
      <w:pPr>
        <w:keepNext w:val="0"/>
        <w:keepLines w:val="0"/>
        <w:pageBreakBefore w:val="0"/>
        <w:widowControl w:val="0"/>
        <w:numPr>
          <w:numId w:val="0"/>
        </w:numPr>
        <w:kinsoku/>
        <w:wordWrap/>
        <w:overflowPunct/>
        <w:topLinePunct w:val="0"/>
        <w:autoSpaceDE/>
        <w:autoSpaceDN/>
        <w:bidi w:val="0"/>
        <w:adjustRightInd/>
        <w:snapToGrid/>
        <w:spacing w:line="360" w:lineRule="auto"/>
        <w:ind w:leftChars="200"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设计核心风格大气专业风，适配科研机构工程类材料的视觉呈现需求。</w:t>
      </w:r>
    </w:p>
    <w:p w14:paraId="767D695D">
      <w:pPr>
        <w:keepNext w:val="0"/>
        <w:keepLines w:val="0"/>
        <w:pageBreakBefore w:val="0"/>
        <w:widowControl w:val="0"/>
        <w:numPr>
          <w:numId w:val="0"/>
        </w:numPr>
        <w:kinsoku/>
        <w:wordWrap/>
        <w:overflowPunct/>
        <w:topLinePunct w:val="0"/>
        <w:autoSpaceDE/>
        <w:autoSpaceDN/>
        <w:bidi w:val="0"/>
        <w:adjustRightInd/>
        <w:snapToGrid/>
        <w:spacing w:line="360" w:lineRule="auto"/>
        <w:ind w:leftChars="200"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色彩体系亮点</w:t>
      </w:r>
    </w:p>
    <w:p w14:paraId="65336875">
      <w:pPr>
        <w:keepNext w:val="0"/>
        <w:keepLines w:val="0"/>
        <w:pageBreakBefore w:val="0"/>
        <w:widowControl w:val="0"/>
        <w:numPr>
          <w:numId w:val="0"/>
        </w:numPr>
        <w:kinsoku/>
        <w:wordWrap/>
        <w:overflowPunct/>
        <w:topLinePunct w:val="0"/>
        <w:autoSpaceDE/>
        <w:autoSpaceDN/>
        <w:bidi w:val="0"/>
        <w:adjustRightInd/>
        <w:snapToGrid/>
        <w:spacing w:line="360" w:lineRule="auto"/>
        <w:ind w:leftChars="200"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主色调选用深蓝色，自带沉稳、严谨的属性，契合科研事业单位的专业气质，同时传递出工程领域的可靠感。配色无多余花哨元素，色彩饱和度适中，视觉上舒适不刺眼，适合用于正式汇报、方案配图。</w:t>
      </w:r>
    </w:p>
    <w:p w14:paraId="11736EE0">
      <w:pPr>
        <w:keepNext w:val="0"/>
        <w:keepLines w:val="0"/>
        <w:pageBreakBefore w:val="0"/>
        <w:widowControl w:val="0"/>
        <w:numPr>
          <w:numId w:val="0"/>
        </w:numPr>
        <w:kinsoku/>
        <w:wordWrap/>
        <w:overflowPunct/>
        <w:topLinePunct w:val="0"/>
        <w:autoSpaceDE/>
        <w:autoSpaceDN/>
        <w:bidi w:val="0"/>
        <w:adjustRightInd/>
        <w:snapToGrid/>
        <w:spacing w:line="360" w:lineRule="auto"/>
        <w:ind w:leftChars="200"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视觉元素亮点</w:t>
      </w:r>
    </w:p>
    <w:p w14:paraId="2058A7E1">
      <w:pPr>
        <w:keepNext w:val="0"/>
        <w:keepLines w:val="0"/>
        <w:pageBreakBefore w:val="0"/>
        <w:widowControl w:val="0"/>
        <w:numPr>
          <w:numId w:val="0"/>
        </w:numPr>
        <w:kinsoku/>
        <w:wordWrap/>
        <w:overflowPunct/>
        <w:topLinePunct w:val="0"/>
        <w:autoSpaceDE/>
        <w:autoSpaceDN/>
        <w:bidi w:val="0"/>
        <w:adjustRightInd/>
        <w:snapToGrid/>
        <w:spacing w:line="360" w:lineRule="auto"/>
        <w:ind w:leftChars="200"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聚焦建筑外立面改造效果，画面布局简洁规整，突出工程修缮属性。</w:t>
      </w:r>
    </w:p>
    <w:p w14:paraId="65D1739B">
      <w:pPr>
        <w:keepNext w:val="0"/>
        <w:keepLines w:val="0"/>
        <w:pageBreakBefore w:val="0"/>
        <w:widowControl w:val="0"/>
        <w:numPr>
          <w:numId w:val="0"/>
        </w:numPr>
        <w:kinsoku/>
        <w:wordWrap/>
        <w:overflowPunct/>
        <w:topLinePunct w:val="0"/>
        <w:autoSpaceDE/>
        <w:autoSpaceDN/>
        <w:bidi w:val="0"/>
        <w:adjustRightInd/>
        <w:snapToGrid/>
        <w:spacing w:line="360" w:lineRule="auto"/>
        <w:ind w:leftChars="200"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场景适配亮点</w:t>
      </w:r>
    </w:p>
    <w:p w14:paraId="31F5C09E">
      <w:pPr>
        <w:keepNext w:val="0"/>
        <w:keepLines w:val="0"/>
        <w:pageBreakBefore w:val="0"/>
        <w:widowControl w:val="0"/>
        <w:numPr>
          <w:numId w:val="0"/>
        </w:numPr>
        <w:kinsoku/>
        <w:wordWrap/>
        <w:overflowPunct/>
        <w:topLinePunct w:val="0"/>
        <w:autoSpaceDE/>
        <w:autoSpaceDN/>
        <w:bidi w:val="0"/>
        <w:adjustRightInd/>
        <w:snapToGrid/>
        <w:spacing w:line="360" w:lineRule="auto"/>
        <w:ind w:leftChars="200"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可直接用于维修改造方案、项目汇报、技术交底材料配图。</w:t>
      </w:r>
    </w:p>
    <w:p w14:paraId="113F15C8">
      <w:pPr>
        <w:numPr>
          <w:ilvl w:val="0"/>
          <w:numId w:val="0"/>
        </w:numPr>
        <w:ind w:leftChars="200"/>
        <w:rPr>
          <w:rFonts w:hint="default" w:ascii="方正仿宋_GB2312" w:hAnsi="方正仿宋_GB2312" w:eastAsia="方正仿宋_GB2312" w:cs="方正仿宋_GB2312"/>
          <w:sz w:val="28"/>
          <w:szCs w:val="28"/>
          <w:lang w:val="en-US" w:eastAsia="zh-CN"/>
        </w:rPr>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FAAED5-14EE-42A0-8182-FEB467AEB0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FA574773-4045-49B5-8917-905157B23319}"/>
  </w:font>
  <w:font w:name="方正小标宋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3" w:fontKey="{43E2C6AB-83F1-4137-8478-45C57BA90650}"/>
  </w:font>
  <w:font w:name="楷体">
    <w:panose1 w:val="02010609060101010101"/>
    <w:charset w:val="86"/>
    <w:family w:val="auto"/>
    <w:pitch w:val="default"/>
    <w:sig w:usb0="800002BF" w:usb1="38CF7CFA" w:usb2="00000016" w:usb3="00000000" w:csb0="00040001" w:csb1="00000000"/>
    <w:embedRegular r:id="rId4" w:fontKey="{AE94AE80-BA08-4B90-9EDB-97EBACB1C0F4}"/>
  </w:font>
  <w:font w:name="微软雅黑">
    <w:panose1 w:val="020B0503020204020204"/>
    <w:charset w:val="86"/>
    <w:family w:val="auto"/>
    <w:pitch w:val="default"/>
    <w:sig w:usb0="80000287" w:usb1="2ACF3C50" w:usb2="00000016" w:usb3="00000000" w:csb0="0004001F" w:csb1="00000000"/>
    <w:embedRegular r:id="rId5" w:fontKey="{A2AF3916-7D03-493C-8DFC-A0D92938E2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C659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DABB58">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DABB58">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86235"/>
    <w:multiLevelType w:val="singleLevel"/>
    <w:tmpl w:val="80A86235"/>
    <w:lvl w:ilvl="0" w:tentative="0">
      <w:start w:val="1"/>
      <w:numFmt w:val="decimal"/>
      <w:lvlText w:val="(%1)"/>
      <w:lvlJc w:val="left"/>
      <w:pPr>
        <w:ind w:left="425" w:hanging="425"/>
      </w:pPr>
      <w:rPr>
        <w:rFonts w:hint="default"/>
      </w:rPr>
    </w:lvl>
  </w:abstractNum>
  <w:abstractNum w:abstractNumId="1">
    <w:nsid w:val="CE79A00F"/>
    <w:multiLevelType w:val="singleLevel"/>
    <w:tmpl w:val="CE79A00F"/>
    <w:lvl w:ilvl="0" w:tentative="0">
      <w:start w:val="1"/>
      <w:numFmt w:val="decimal"/>
      <w:suff w:val="nothing"/>
      <w:lvlText w:val="%1．"/>
      <w:lvlJc w:val="left"/>
      <w:pPr>
        <w:ind w:left="0" w:firstLine="400"/>
      </w:pPr>
      <w:rPr>
        <w:rFonts w:hint="default"/>
      </w:rPr>
    </w:lvl>
  </w:abstractNum>
  <w:abstractNum w:abstractNumId="2">
    <w:nsid w:val="D6E042B1"/>
    <w:multiLevelType w:val="singleLevel"/>
    <w:tmpl w:val="D6E042B1"/>
    <w:lvl w:ilvl="0" w:tentative="0">
      <w:start w:val="1"/>
      <w:numFmt w:val="decimal"/>
      <w:suff w:val="nothing"/>
      <w:lvlText w:val="%1．"/>
      <w:lvlJc w:val="left"/>
      <w:pPr>
        <w:ind w:left="0" w:firstLine="400"/>
      </w:pPr>
      <w:rPr>
        <w:rFonts w:hint="default"/>
      </w:rPr>
    </w:lvl>
  </w:abstractNum>
  <w:abstractNum w:abstractNumId="3">
    <w:nsid w:val="123A1880"/>
    <w:multiLevelType w:val="singleLevel"/>
    <w:tmpl w:val="123A1880"/>
    <w:lvl w:ilvl="0" w:tentative="0">
      <w:start w:val="7"/>
      <w:numFmt w:val="chineseCounting"/>
      <w:suff w:val="nothing"/>
      <w:lvlText w:val="%1、"/>
      <w:lvlJc w:val="left"/>
      <w:rPr>
        <w:rFonts w:hint="eastAsia"/>
      </w:rPr>
    </w:lvl>
  </w:abstractNum>
  <w:abstractNum w:abstractNumId="4">
    <w:nsid w:val="2112A6FD"/>
    <w:multiLevelType w:val="singleLevel"/>
    <w:tmpl w:val="2112A6FD"/>
    <w:lvl w:ilvl="0" w:tentative="0">
      <w:start w:val="1"/>
      <w:numFmt w:val="decimal"/>
      <w:lvlText w:val="(%1)"/>
      <w:lvlJc w:val="left"/>
      <w:pPr>
        <w:ind w:left="425" w:hanging="425"/>
      </w:pPr>
      <w:rPr>
        <w:rFonts w:hint="default"/>
      </w:rPr>
    </w:lvl>
  </w:abstractNum>
  <w:abstractNum w:abstractNumId="5">
    <w:nsid w:val="26FC25DE"/>
    <w:multiLevelType w:val="singleLevel"/>
    <w:tmpl w:val="26FC25DE"/>
    <w:lvl w:ilvl="0" w:tentative="0">
      <w:start w:val="1"/>
      <w:numFmt w:val="decimal"/>
      <w:suff w:val="nothing"/>
      <w:lvlText w:val="%1．"/>
      <w:lvlJc w:val="left"/>
      <w:pPr>
        <w:ind w:left="0" w:firstLine="400"/>
      </w:pPr>
      <w:rPr>
        <w:rFonts w:hint="default"/>
      </w:rPr>
    </w:lvl>
  </w:abstractNum>
  <w:abstractNum w:abstractNumId="6">
    <w:nsid w:val="482BB0D6"/>
    <w:multiLevelType w:val="singleLevel"/>
    <w:tmpl w:val="482BB0D6"/>
    <w:lvl w:ilvl="0" w:tentative="0">
      <w:start w:val="1"/>
      <w:numFmt w:val="decimal"/>
      <w:lvlText w:val="(%1)"/>
      <w:lvlJc w:val="left"/>
      <w:pPr>
        <w:ind w:left="425" w:hanging="425"/>
      </w:pPr>
      <w:rPr>
        <w:rFonts w:hint="default"/>
      </w:rPr>
    </w:lvl>
  </w:abstractNum>
  <w:abstractNum w:abstractNumId="7">
    <w:nsid w:val="4B38D5E5"/>
    <w:multiLevelType w:val="singleLevel"/>
    <w:tmpl w:val="4B38D5E5"/>
    <w:lvl w:ilvl="0" w:tentative="0">
      <w:start w:val="1"/>
      <w:numFmt w:val="decimal"/>
      <w:suff w:val="nothing"/>
      <w:lvlText w:val="%1．"/>
      <w:lvlJc w:val="left"/>
      <w:pPr>
        <w:ind w:left="0" w:firstLine="400"/>
      </w:pPr>
      <w:rPr>
        <w:rFonts w:hint="default"/>
      </w:rPr>
    </w:lvl>
  </w:abstractNum>
  <w:abstractNum w:abstractNumId="8">
    <w:nsid w:val="4E76BDDE"/>
    <w:multiLevelType w:val="singleLevel"/>
    <w:tmpl w:val="4E76BDDE"/>
    <w:lvl w:ilvl="0" w:tentative="0">
      <w:start w:val="1"/>
      <w:numFmt w:val="decimal"/>
      <w:suff w:val="nothing"/>
      <w:lvlText w:val="（%1）"/>
      <w:lvlJc w:val="left"/>
    </w:lvl>
  </w:abstractNum>
  <w:abstractNum w:abstractNumId="9">
    <w:nsid w:val="741DB8B2"/>
    <w:multiLevelType w:val="singleLevel"/>
    <w:tmpl w:val="741DB8B2"/>
    <w:lvl w:ilvl="0" w:tentative="0">
      <w:start w:val="1"/>
      <w:numFmt w:val="decimal"/>
      <w:suff w:val="nothing"/>
      <w:lvlText w:val="%1．"/>
      <w:lvlJc w:val="left"/>
      <w:pPr>
        <w:ind w:left="0" w:firstLine="400"/>
      </w:pPr>
      <w:rPr>
        <w:rFonts w:hint="default"/>
      </w:rPr>
    </w:lvl>
  </w:abstractNum>
  <w:abstractNum w:abstractNumId="10">
    <w:nsid w:val="7D7F05CD"/>
    <w:multiLevelType w:val="singleLevel"/>
    <w:tmpl w:val="7D7F05CD"/>
    <w:lvl w:ilvl="0" w:tentative="0">
      <w:start w:val="1"/>
      <w:numFmt w:val="decimal"/>
      <w:suff w:val="nothing"/>
      <w:lvlText w:val="%1．"/>
      <w:lvlJc w:val="left"/>
      <w:pPr>
        <w:ind w:left="0" w:firstLine="400"/>
      </w:pPr>
      <w:rPr>
        <w:rFonts w:hint="default"/>
      </w:rPr>
    </w:lvl>
  </w:abstractNum>
  <w:num w:numId="1">
    <w:abstractNumId w:val="10"/>
  </w:num>
  <w:num w:numId="2">
    <w:abstractNumId w:val="7"/>
  </w:num>
  <w:num w:numId="3">
    <w:abstractNumId w:val="8"/>
  </w:num>
  <w:num w:numId="4">
    <w:abstractNumId w:val="1"/>
  </w:num>
  <w:num w:numId="5">
    <w:abstractNumId w:val="2"/>
  </w:num>
  <w:num w:numId="6">
    <w:abstractNumId w:val="5"/>
  </w:num>
  <w:num w:numId="7">
    <w:abstractNumId w:val="9"/>
  </w:num>
  <w:num w:numId="8">
    <w:abstractNumId w:val="4"/>
  </w:num>
  <w:num w:numId="9">
    <w:abstractNumId w:val="0"/>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472706"/>
    <w:rsid w:val="063F21C5"/>
    <w:rsid w:val="111927C8"/>
    <w:rsid w:val="166938A9"/>
    <w:rsid w:val="17A77BC2"/>
    <w:rsid w:val="190065AD"/>
    <w:rsid w:val="1FF0469A"/>
    <w:rsid w:val="20C55B80"/>
    <w:rsid w:val="22BD7DA9"/>
    <w:rsid w:val="285A4276"/>
    <w:rsid w:val="2CC413E2"/>
    <w:rsid w:val="2ED33B5E"/>
    <w:rsid w:val="30646701"/>
    <w:rsid w:val="36B11718"/>
    <w:rsid w:val="3CF67395"/>
    <w:rsid w:val="3FC24EF0"/>
    <w:rsid w:val="42CE4911"/>
    <w:rsid w:val="458F4FCC"/>
    <w:rsid w:val="45A32E70"/>
    <w:rsid w:val="463B22BD"/>
    <w:rsid w:val="46E92F23"/>
    <w:rsid w:val="46F60EF7"/>
    <w:rsid w:val="481347BF"/>
    <w:rsid w:val="4ABA40F8"/>
    <w:rsid w:val="525B28BD"/>
    <w:rsid w:val="55894DF3"/>
    <w:rsid w:val="565A678F"/>
    <w:rsid w:val="59CF2FF0"/>
    <w:rsid w:val="5AB62190"/>
    <w:rsid w:val="616B2973"/>
    <w:rsid w:val="63472706"/>
    <w:rsid w:val="6865105C"/>
    <w:rsid w:val="731A5574"/>
    <w:rsid w:val="798F3EE9"/>
    <w:rsid w:val="7DD7166D"/>
    <w:rsid w:val="7F144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customStyle="1" w:styleId="11">
    <w:name w:val="font31"/>
    <w:basedOn w:val="9"/>
    <w:qFormat/>
    <w:uiPriority w:val="0"/>
    <w:rPr>
      <w:rFonts w:hint="eastAsia" w:ascii="仿宋" w:hAnsi="仿宋" w:eastAsia="仿宋" w:cs="仿宋"/>
      <w:b/>
      <w:bCs/>
      <w:color w:val="000000"/>
      <w:sz w:val="22"/>
      <w:szCs w:val="22"/>
      <w:u w:val="none"/>
    </w:rPr>
  </w:style>
  <w:style w:type="character" w:customStyle="1" w:styleId="12">
    <w:name w:val="font11"/>
    <w:basedOn w:val="9"/>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860</Words>
  <Characters>913</Characters>
  <Lines>0</Lines>
  <Paragraphs>0</Paragraphs>
  <TotalTime>1</TotalTime>
  <ScaleCrop>false</ScaleCrop>
  <LinksUpToDate>false</LinksUpToDate>
  <CharactersWithSpaces>950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2026-08-04T07:38:00Z</dcterms:created>
  <dc:creator>黄廷冠</dc:creator>
  <cp:lastModifiedBy>Keith</cp:lastModifiedBy>
  <cp:lastPrinted>2026-08-27T04:20:00Z</cp:lastPrinted>
  <dcterms:modified xsi:type="dcterms:W3CDTF">2026-09-04T08:39:49Z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422A0FB4B11540CE81D9DED54C312B74_11</vt:lpwstr>
  </property>
  <property fmtid="{D5CDD505-2E9C-101B-9397-08002B2CF9AE}" pid="4" name="KSOTemplateDocerSaveRecord">
    <vt:lpwstr>eyJoZGlkIjoiNTRmM2Y2NTU0ODg4ZTRmM2QwMzM3Yjg0MTgyYzljOTIiLCJ1c2VySWQiOiIyNjE2NTUyMzAifQ==</vt:lpwstr>
  </property>
</Properties>
</file>