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6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567"/>
        <w:gridCol w:w="886"/>
        <w:gridCol w:w="6535"/>
      </w:tblGrid>
      <w:tr w14:paraId="0B046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875" w:type="dxa"/>
            <w:noWrap w:val="0"/>
            <w:vAlign w:val="center"/>
          </w:tcPr>
          <w:p w14:paraId="77CF93F8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567" w:type="dxa"/>
            <w:noWrap w:val="0"/>
            <w:vAlign w:val="center"/>
          </w:tcPr>
          <w:p w14:paraId="4DB30903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评审项目</w:t>
            </w:r>
          </w:p>
        </w:tc>
        <w:tc>
          <w:tcPr>
            <w:tcW w:w="886" w:type="dxa"/>
            <w:noWrap w:val="0"/>
            <w:vAlign w:val="center"/>
          </w:tcPr>
          <w:p w14:paraId="4005D607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分值</w:t>
            </w:r>
          </w:p>
        </w:tc>
        <w:tc>
          <w:tcPr>
            <w:tcW w:w="6535" w:type="dxa"/>
            <w:noWrap w:val="0"/>
            <w:vAlign w:val="center"/>
          </w:tcPr>
          <w:p w14:paraId="7666E3BE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评审内容</w:t>
            </w:r>
          </w:p>
        </w:tc>
      </w:tr>
      <w:tr w14:paraId="5842C6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875" w:type="dxa"/>
            <w:noWrap w:val="0"/>
            <w:vAlign w:val="center"/>
          </w:tcPr>
          <w:p w14:paraId="03257469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1F0437D0"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同类项目业绩</w:t>
            </w:r>
          </w:p>
        </w:tc>
        <w:tc>
          <w:tcPr>
            <w:tcW w:w="886" w:type="dxa"/>
            <w:noWrap w:val="0"/>
            <w:vAlign w:val="center"/>
          </w:tcPr>
          <w:p w14:paraId="638DEBAD">
            <w:pPr>
              <w:widowControl/>
              <w:wordWrap w:val="0"/>
              <w:spacing w:line="360" w:lineRule="auto"/>
              <w:jc w:val="center"/>
              <w:textAlignment w:val="top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6535" w:type="dxa"/>
            <w:noWrap w:val="0"/>
            <w:vAlign w:val="center"/>
          </w:tcPr>
          <w:p w14:paraId="1F4CC32E">
            <w:pPr>
              <w:pStyle w:val="2"/>
              <w:spacing w:line="360" w:lineRule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响应供应商202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年1月1日至今同类项目（同类项目是指：响应供应商在开展过承诺达标合格证或者全程追溯应用推广工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作</w:t>
            </w:r>
            <w:r>
              <w:rPr>
                <w:rFonts w:hint="eastAsia" w:ascii="宋体" w:hAnsi="宋体" w:cs="宋体"/>
                <w:sz w:val="21"/>
                <w:szCs w:val="21"/>
              </w:rPr>
              <w:t>）业绩情况，每提供一项合同业绩得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1"/>
                <w:szCs w:val="21"/>
              </w:rPr>
              <w:t>分，最高得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21"/>
                <w:szCs w:val="21"/>
              </w:rPr>
              <w:t>分。</w:t>
            </w:r>
          </w:p>
          <w:p w14:paraId="060E8C8F">
            <w:pPr>
              <w:pStyle w:val="2"/>
              <w:spacing w:line="360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注：须提供合同复印件，以合同签订日期为准，同一项目的业绩不重复计分。提供合同模糊专家无法认定的不得分。</w:t>
            </w:r>
          </w:p>
        </w:tc>
      </w:tr>
      <w:tr w14:paraId="366428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5" w:type="dxa"/>
            <w:noWrap w:val="0"/>
            <w:vAlign w:val="center"/>
          </w:tcPr>
          <w:p w14:paraId="4ECE524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6055B9F0"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服务响应能力</w:t>
            </w:r>
          </w:p>
        </w:tc>
        <w:tc>
          <w:tcPr>
            <w:tcW w:w="886" w:type="dxa"/>
            <w:noWrap w:val="0"/>
            <w:vAlign w:val="center"/>
          </w:tcPr>
          <w:p w14:paraId="7264EC50">
            <w:pPr>
              <w:widowControl/>
              <w:wordWrap w:val="0"/>
              <w:spacing w:line="360" w:lineRule="auto"/>
              <w:jc w:val="center"/>
              <w:textAlignment w:val="top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</w:p>
        </w:tc>
        <w:tc>
          <w:tcPr>
            <w:tcW w:w="6535" w:type="dxa"/>
            <w:noWrap w:val="0"/>
            <w:vAlign w:val="center"/>
          </w:tcPr>
          <w:p w14:paraId="4DB3CB44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响应供应商对采购人服务响应时间进行评审：</w:t>
            </w:r>
          </w:p>
          <w:p w14:paraId="4EC9265F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从接到采购人需求起，能够在45分钟内（含45分钟）到达现场的，得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分；</w:t>
            </w:r>
            <w:bookmarkStart w:id="0" w:name="_GoBack"/>
            <w:bookmarkEnd w:id="0"/>
          </w:p>
          <w:p w14:paraId="7846FC28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从接到采购人需求起，能够在90分钟内（含90分钟）到达现场，得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分；</w:t>
            </w:r>
          </w:p>
          <w:p w14:paraId="6C2F6DAA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从接到采购人需求起，能够在2小时内（含2小时）到达现场，得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分；</w:t>
            </w:r>
          </w:p>
          <w:p w14:paraId="40D3EA44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超过2小时（不含2小时）到达现场或其他情况的得0分。</w:t>
            </w:r>
          </w:p>
          <w:p w14:paraId="13B587DD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注：响应供应商响应且到达现场执行任务的时间依据为：从承担任务的办公点出发到广东省科学院生物与医学工程研究所（海珠区石榴岗路10号）所需的时间。须提供承诺函以及相关证明材料并加盖响应供应商公章，承诺函格式自定，未提供的得0分；</w:t>
            </w:r>
          </w:p>
        </w:tc>
      </w:tr>
      <w:tr w14:paraId="44631F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5" w:type="dxa"/>
            <w:noWrap w:val="0"/>
            <w:vAlign w:val="center"/>
          </w:tcPr>
          <w:p w14:paraId="1BE1839A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4888E020">
            <w:pPr>
              <w:pStyle w:val="2"/>
              <w:spacing w:line="360" w:lineRule="auto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团队能力</w:t>
            </w:r>
          </w:p>
        </w:tc>
        <w:tc>
          <w:tcPr>
            <w:tcW w:w="886" w:type="dxa"/>
            <w:noWrap w:val="0"/>
            <w:vAlign w:val="center"/>
          </w:tcPr>
          <w:p w14:paraId="154180CE">
            <w:pPr>
              <w:widowControl/>
              <w:wordWrap w:val="0"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</w:p>
        </w:tc>
        <w:tc>
          <w:tcPr>
            <w:tcW w:w="6535" w:type="dxa"/>
            <w:noWrap w:val="0"/>
            <w:vAlign w:val="top"/>
          </w:tcPr>
          <w:p w14:paraId="24A2F0F5">
            <w:pPr>
              <w:spacing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1、响应供应商项目经理参与过农业推广类项目，并获奖可得分：</w:t>
            </w:r>
          </w:p>
          <w:p w14:paraId="6CD5BD57">
            <w:pPr>
              <w:pStyle w:val="2"/>
              <w:spacing w:line="360" w:lineRule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一等奖得3分；二等奖得2分；三等奖得1分；没有奖项得0分。</w:t>
            </w:r>
          </w:p>
          <w:p w14:paraId="1FF67F7E">
            <w:pPr>
              <w:pStyle w:val="2"/>
              <w:spacing w:line="360" w:lineRule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lang w:bidi="ar"/>
              </w:rPr>
              <w:t>注:供应商须在响应文件中提供上述获奖证书的复印件作为评审依据,没有提供不得分</w:t>
            </w:r>
            <w:r>
              <w:rPr>
                <w:rFonts w:hint="eastAsia" w:ascii="宋体" w:hAnsi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本项</w:t>
            </w:r>
            <w:r>
              <w:rPr>
                <w:rFonts w:hint="eastAsia" w:ascii="宋体" w:hAnsi="宋体" w:cs="宋体"/>
                <w:sz w:val="21"/>
                <w:szCs w:val="21"/>
              </w:rPr>
              <w:t>最高3分。</w:t>
            </w:r>
          </w:p>
          <w:p w14:paraId="33E1A470">
            <w:pPr>
              <w:rPr>
                <w:rFonts w:hint="eastAsia"/>
              </w:rPr>
            </w:pPr>
            <w:r>
              <w:rPr>
                <w:rFonts w:hint="eastAsia"/>
              </w:rPr>
              <w:t>2、响应供应商为本项目配备的团队成员</w:t>
            </w:r>
            <w:r>
              <w:rPr>
                <w:rFonts w:hint="eastAsia"/>
                <w:lang w:val="en-US" w:eastAsia="zh-CN"/>
              </w:rPr>
              <w:t>具有</w:t>
            </w:r>
            <w:r>
              <w:rPr>
                <w:rFonts w:hint="eastAsia"/>
              </w:rPr>
              <w:t>农业管理类职称或信息化相关</w:t>
            </w:r>
            <w:r>
              <w:rPr>
                <w:rFonts w:hint="eastAsia"/>
                <w:lang w:val="en-US" w:eastAsia="zh-CN"/>
              </w:rPr>
              <w:t>高工或以上职称，每提供1名，得3分；具有</w:t>
            </w:r>
            <w:r>
              <w:rPr>
                <w:rFonts w:hint="eastAsia"/>
              </w:rPr>
              <w:t>农业管理类职称或信息化相关</w:t>
            </w:r>
            <w:r>
              <w:rPr>
                <w:rFonts w:hint="eastAsia"/>
                <w:lang w:val="en-US" w:eastAsia="zh-CN"/>
              </w:rPr>
              <w:t>中级职称，每提供1名，得2分。</w:t>
            </w:r>
            <w:r>
              <w:rPr>
                <w:rFonts w:hint="eastAsia"/>
              </w:rPr>
              <w:t>同一人同时具备多个职称认证的不重复计算，按最高分值计算一次得分。</w:t>
            </w:r>
          </w:p>
          <w:p w14:paraId="1EEB7D80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注:供应商须在响应文件中提供上述职称等证书的复印件作为评审依据,</w:t>
            </w:r>
            <w:r>
              <w:rPr>
                <w:rFonts w:hint="eastAsia"/>
                <w:b/>
                <w:bCs/>
                <w:lang w:eastAsia="zh-CN"/>
              </w:rPr>
              <w:t>同时需提供人员劳动合同或社保，</w:t>
            </w:r>
            <w:r>
              <w:rPr>
                <w:rFonts w:hint="eastAsia"/>
                <w:b/>
                <w:bCs/>
              </w:rPr>
              <w:t>没有提供不得分。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本项</w:t>
            </w:r>
            <w:r>
              <w:rPr>
                <w:rFonts w:hint="eastAsia"/>
                <w:b w:val="0"/>
                <w:bCs w:val="0"/>
              </w:rPr>
              <w:t>最高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</w:rPr>
              <w:t>分</w:t>
            </w:r>
            <w:r>
              <w:rPr>
                <w:rFonts w:hint="eastAsia"/>
                <w:b w:val="0"/>
                <w:bCs w:val="0"/>
                <w:lang w:eastAsia="zh-CN"/>
              </w:rPr>
              <w:t>。</w:t>
            </w:r>
          </w:p>
        </w:tc>
      </w:tr>
      <w:tr w14:paraId="29499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863" w:type="dxa"/>
            <w:gridSpan w:val="4"/>
            <w:noWrap w:val="0"/>
            <w:vAlign w:val="center"/>
          </w:tcPr>
          <w:p w14:paraId="4BC38C08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合计：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cs="宋体"/>
                <w:bCs/>
                <w:szCs w:val="21"/>
              </w:rPr>
              <w:t>分</w:t>
            </w:r>
          </w:p>
        </w:tc>
      </w:tr>
    </w:tbl>
    <w:p w14:paraId="2CF5029A">
      <w:r>
        <w:br w:type="page"/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541"/>
        <w:gridCol w:w="914"/>
        <w:gridCol w:w="6244"/>
      </w:tblGrid>
      <w:tr w14:paraId="4237D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21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2671AE6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541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01A5853E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评审项目</w:t>
            </w:r>
          </w:p>
        </w:tc>
        <w:tc>
          <w:tcPr>
            <w:tcW w:w="914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 w14:paraId="2F4F299E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分值</w:t>
            </w:r>
          </w:p>
        </w:tc>
        <w:tc>
          <w:tcPr>
            <w:tcW w:w="6244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4BF84F60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评审内容</w:t>
            </w:r>
          </w:p>
        </w:tc>
      </w:tr>
      <w:tr w14:paraId="5082D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21" w:type="dxa"/>
            <w:tcBorders>
              <w:top w:val="single" w:color="auto" w:sz="6" w:space="0"/>
            </w:tcBorders>
            <w:noWrap w:val="0"/>
            <w:vAlign w:val="center"/>
          </w:tcPr>
          <w:p w14:paraId="171F7A53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41" w:type="dxa"/>
            <w:tcBorders>
              <w:top w:val="single" w:color="auto" w:sz="6" w:space="0"/>
            </w:tcBorders>
            <w:noWrap w:val="0"/>
            <w:vAlign w:val="center"/>
          </w:tcPr>
          <w:p w14:paraId="6ADD620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项目的理解及熟悉程度</w:t>
            </w:r>
          </w:p>
        </w:tc>
        <w:tc>
          <w:tcPr>
            <w:tcW w:w="914" w:type="dxa"/>
            <w:tcBorders>
              <w:top w:val="single" w:color="auto" w:sz="6" w:space="0"/>
            </w:tcBorders>
            <w:noWrap w:val="0"/>
            <w:vAlign w:val="center"/>
          </w:tcPr>
          <w:p w14:paraId="0AF676AE">
            <w:pPr>
              <w:spacing w:line="360" w:lineRule="auto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6244" w:type="dxa"/>
            <w:tcBorders>
              <w:top w:val="single" w:color="auto" w:sz="6" w:space="0"/>
            </w:tcBorders>
            <w:noWrap w:val="0"/>
            <w:vAlign w:val="center"/>
          </w:tcPr>
          <w:p w14:paraId="279E25D3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根据响应供应商对本项目的理解及熟悉程度（包括但不限于项目重点、难点分析及应对措施、项目实施建议、项目理解程度）进行评审：</w:t>
            </w:r>
          </w:p>
          <w:p w14:paraId="48D88757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（1）对本项目建设难点的分析、应对策略、总体建议和整体理解情况详尽可行的，得15分；</w:t>
            </w:r>
          </w:p>
          <w:p w14:paraId="16A5DEB5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（2）对本项目建设难点的分析、应对策略、总体建议和整体理解情况较为详细，内容可行性较强的，得12分；</w:t>
            </w:r>
          </w:p>
          <w:p w14:paraId="0EBE37A6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（3）对本项目建设难点的分析、应对策略、总体建议和整体理解情况基本了解，内容可行性不够强的，得8分；</w:t>
            </w:r>
          </w:p>
          <w:p w14:paraId="514084D2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（4）对本项目建设难点的分析、应对策略、总体建议和整体理解情况不了解，内容可行性较差的，得3分。</w:t>
            </w:r>
          </w:p>
          <w:p w14:paraId="44291DF2">
            <w:pPr>
              <w:pStyle w:val="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（5）没有提供相关方案不得分。</w:t>
            </w:r>
          </w:p>
        </w:tc>
      </w:tr>
      <w:tr w14:paraId="7C426D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821" w:type="dxa"/>
            <w:noWrap w:val="0"/>
            <w:vAlign w:val="center"/>
          </w:tcPr>
          <w:p w14:paraId="638C4312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09A3EA8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实施运营组织方案</w:t>
            </w:r>
          </w:p>
        </w:tc>
        <w:tc>
          <w:tcPr>
            <w:tcW w:w="914" w:type="dxa"/>
            <w:noWrap w:val="0"/>
            <w:vAlign w:val="center"/>
          </w:tcPr>
          <w:p w14:paraId="5A35D918">
            <w:pPr>
              <w:spacing w:line="360" w:lineRule="auto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6244" w:type="dxa"/>
            <w:noWrap w:val="0"/>
            <w:vAlign w:val="center"/>
          </w:tcPr>
          <w:p w14:paraId="6AD77585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根据响应供应商所拟定的实施运营组织方案（包括但不限于实施流程、实施标准、实施保障措施）进行综合评审：</w:t>
            </w:r>
          </w:p>
          <w:p w14:paraId="28362CC0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（1）实施运营组织方案符合项目实际情况，科学可行且考虑周到，完全满足或优于用户需求的，得</w:t>
            </w:r>
            <w:r>
              <w:rPr>
                <w:rFonts w:ascii="宋体" w:hAnsi="宋体" w:cs="宋体"/>
                <w:szCs w:val="21"/>
                <w:lang w:bidi="ar"/>
              </w:rPr>
              <w:t>20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4FF22EBA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（2）实施运营组织方案较符合项目实际情况，具有一定的科学性可行性，考虑周到，满足用户需求的，得</w:t>
            </w:r>
            <w:r>
              <w:rPr>
                <w:rFonts w:ascii="宋体" w:hAnsi="宋体" w:cs="宋体"/>
                <w:szCs w:val="21"/>
                <w:lang w:bidi="ar"/>
              </w:rPr>
              <w:t>15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4F53E252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（3）实施运营组织方案基本符合项目实际情况，具有基本的科学性可行性，基本满足用户需求的，得</w:t>
            </w:r>
            <w:r>
              <w:rPr>
                <w:rFonts w:ascii="宋体" w:hAnsi="宋体" w:cs="宋体"/>
                <w:szCs w:val="21"/>
                <w:lang w:bidi="ar"/>
              </w:rPr>
              <w:t>10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1D81AB9E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（4）实施运营组织方案对于项目实际有所偏离，科学性可行性欠缺，不能满足用户需求的，得</w:t>
            </w:r>
            <w:r>
              <w:rPr>
                <w:rFonts w:ascii="宋体" w:hAnsi="宋体" w:cs="宋体"/>
                <w:szCs w:val="21"/>
                <w:lang w:bidi="ar"/>
              </w:rPr>
              <w:t>5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09DBE8A9">
            <w:pPr>
              <w:spacing w:line="360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（5）没有提供相关方案不得分。</w:t>
            </w:r>
          </w:p>
        </w:tc>
      </w:tr>
      <w:tr w14:paraId="2818B4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21" w:type="dxa"/>
            <w:noWrap w:val="0"/>
            <w:vAlign w:val="center"/>
          </w:tcPr>
          <w:p w14:paraId="7A52FB69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3F781B7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服务承诺</w:t>
            </w:r>
          </w:p>
        </w:tc>
        <w:tc>
          <w:tcPr>
            <w:tcW w:w="914" w:type="dxa"/>
            <w:noWrap w:val="0"/>
            <w:vAlign w:val="center"/>
          </w:tcPr>
          <w:p w14:paraId="4E5B87A2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6244" w:type="dxa"/>
            <w:noWrap w:val="0"/>
            <w:vAlign w:val="center"/>
          </w:tcPr>
          <w:p w14:paraId="59CE896B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根据响应供应商提供的服务承诺（包括但不限于增值服务、售后服务、培训服务）进行综合评审：</w:t>
            </w:r>
          </w:p>
          <w:p w14:paraId="0DBD4542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（1）服务承诺具体完善，可靠、具体的，得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05B6BA15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（2）服务承诺较为具体完善，内容较为可靠、具体的，得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7F3CAD2F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（3）服务承诺不够具体完善，内容基本可靠的，得</w:t>
            </w:r>
            <w:r>
              <w:rPr>
                <w:rFonts w:hint="eastAsia" w:ascii="宋体" w:hAnsi="宋体" w:cs="宋体"/>
                <w:szCs w:val="21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szCs w:val="21"/>
                <w:lang w:bidi="ar"/>
              </w:rPr>
              <w:t>分；</w:t>
            </w:r>
          </w:p>
          <w:p w14:paraId="2EDE7FF9">
            <w:pPr>
              <w:widowControl/>
              <w:spacing w:line="360" w:lineRule="auto"/>
              <w:jc w:val="left"/>
              <w:rPr>
                <w:rFonts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（4）服务承诺不具体、完善，内容不够可行的，得2分；</w:t>
            </w:r>
          </w:p>
          <w:p w14:paraId="11646E7D">
            <w:pPr>
              <w:spacing w:line="360" w:lineRule="auto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（5）没有提供相关方案不得分。</w:t>
            </w:r>
          </w:p>
        </w:tc>
      </w:tr>
      <w:tr w14:paraId="552B99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520" w:type="dxa"/>
            <w:gridSpan w:val="4"/>
            <w:noWrap w:val="0"/>
            <w:vAlign w:val="center"/>
          </w:tcPr>
          <w:p w14:paraId="5A8C1D4A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合计：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 w:cs="宋体"/>
                <w:bCs/>
                <w:szCs w:val="21"/>
              </w:rPr>
              <w:t>分</w:t>
            </w:r>
          </w:p>
        </w:tc>
      </w:tr>
    </w:tbl>
    <w:p w14:paraId="493D7852">
      <w:pPr>
        <w:pStyle w:val="2"/>
      </w:pPr>
    </w:p>
    <w:p w14:paraId="2B9BF9D0"/>
    <w:p w14:paraId="73F56652">
      <w:pPr>
        <w:pStyle w:val="2"/>
      </w:pPr>
    </w:p>
    <w:p w14:paraId="1C859DF9">
      <w:pPr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3.价格：20分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72FE0C"/>
    <w:multiLevelType w:val="singleLevel"/>
    <w:tmpl w:val="DE72FE0C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42A7B61"/>
    <w:multiLevelType w:val="multilevel"/>
    <w:tmpl w:val="642A7B61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9BB7884"/>
    <w:multiLevelType w:val="multilevel"/>
    <w:tmpl w:val="69BB7884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A7D5C"/>
    <w:rsid w:val="11780B9F"/>
    <w:rsid w:val="283E4A5F"/>
    <w:rsid w:val="4D417F48"/>
    <w:rsid w:val="7F37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  <w:style w:type="paragraph" w:styleId="3">
    <w:name w:val="annotation text"/>
    <w:basedOn w:val="1"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1421</Words>
  <Characters>1448</Characters>
  <Lines>0</Lines>
  <Paragraphs>0</Paragraphs>
  <TotalTime>9</TotalTime>
  <ScaleCrop>false</ScaleCrop>
  <LinksUpToDate>false</LinksUpToDate>
  <CharactersWithSpaces>1448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2026-08-25T14:26:00Z</dcterms:created>
  <dc:creator>Bin</dc:creator>
  <cp:lastModifiedBy>Bin</cp:lastModifiedBy>
  <dcterms:modified xsi:type="dcterms:W3CDTF">2026-08-26T12:10:28Z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eyJoZGlkIjoiYzU3MGMyYjQxZWJjM2MxZjQ4OTMyOGNiNjM3NzYxMWUiLCJ1c2VySWQiOiI1Mjk3NjMzOTAifQ==</vt:lpwstr>
  </property>
  <property fmtid="{D5CDD505-2E9C-101B-9397-08002B2CF9AE}" pid="4" name="ICV">
    <vt:lpwstr>01C83AE3CD134D8892B72B5109CE4794_13</vt:lpwstr>
  </property>
</Properties>
</file>