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EAADB0">
      <w:pPr>
        <w:keepNext w:val="0"/>
        <w:keepLines w:val="0"/>
        <w:pageBreakBefore w:val="0"/>
        <w:numPr>
          <w:ilvl w:val="0"/>
          <w:numId w:val="1"/>
        </w:numPr>
        <w:kinsoku/>
        <w:wordWrap/>
        <w:overflowPunct/>
        <w:topLinePunct w:val="0"/>
        <w:autoSpaceDE/>
        <w:autoSpaceDN/>
        <w:bidi w:val="0"/>
        <w:rPr>
          <w:rFonts w:hint="eastAsia"/>
          <w:sz w:val="28"/>
          <w:szCs w:val="28"/>
          <w:lang w:val="en-US" w:eastAsia="zh-CN"/>
        </w:rPr>
      </w:pPr>
      <w:r>
        <w:rPr>
          <w:rFonts w:hint="eastAsia"/>
          <w:sz w:val="28"/>
          <w:szCs w:val="28"/>
          <w:lang w:val="en-US" w:eastAsia="zh-CN"/>
        </w:rPr>
        <w:t>预算金额：51.7万元。</w:t>
      </w:r>
    </w:p>
    <w:p w14:paraId="3107EEE4">
      <w:pPr>
        <w:keepNext w:val="0"/>
        <w:keepLines w:val="0"/>
        <w:pageBreakBefore w:val="0"/>
        <w:numPr>
          <w:ilvl w:val="0"/>
          <w:numId w:val="1"/>
        </w:numPr>
        <w:kinsoku/>
        <w:wordWrap/>
        <w:overflowPunct/>
        <w:topLinePunct w:val="0"/>
        <w:autoSpaceDE/>
        <w:autoSpaceDN/>
        <w:bidi w:val="0"/>
        <w:rPr>
          <w:rFonts w:hint="default"/>
          <w:sz w:val="28"/>
          <w:szCs w:val="28"/>
          <w:lang w:val="en-US" w:eastAsia="zh-CN"/>
        </w:rPr>
      </w:pPr>
      <w:r>
        <w:rPr>
          <w:rFonts w:hint="eastAsia"/>
          <w:sz w:val="28"/>
          <w:szCs w:val="28"/>
          <w:lang w:val="en-US" w:eastAsia="zh-CN"/>
        </w:rPr>
        <w:t>名称：2026年承诺达标合格证应用及查验、亮证模式探索示范项目委托业务</w:t>
      </w:r>
    </w:p>
    <w:p w14:paraId="70E447BE">
      <w:pPr>
        <w:keepNext w:val="0"/>
        <w:keepLines w:val="0"/>
        <w:pageBreakBefore w:val="0"/>
        <w:numPr>
          <w:ilvl w:val="0"/>
          <w:numId w:val="1"/>
        </w:numPr>
        <w:kinsoku/>
        <w:wordWrap/>
        <w:overflowPunct/>
        <w:topLinePunct w:val="0"/>
        <w:autoSpaceDE/>
        <w:autoSpaceDN/>
        <w:bidi w:val="0"/>
        <w:rPr>
          <w:rFonts w:hint="default"/>
          <w:sz w:val="28"/>
          <w:szCs w:val="28"/>
          <w:lang w:val="en-US" w:eastAsia="zh-CN"/>
        </w:rPr>
      </w:pPr>
      <w:r>
        <w:rPr>
          <w:rFonts w:hint="eastAsia"/>
          <w:sz w:val="28"/>
          <w:szCs w:val="28"/>
          <w:lang w:val="en-US" w:eastAsia="zh-CN"/>
        </w:rPr>
        <w:t>项目目标</w:t>
      </w:r>
    </w:p>
    <w:p w14:paraId="7BF2A6B1">
      <w:pPr>
        <w:pStyle w:val="4"/>
        <w:keepNext w:val="0"/>
        <w:keepLines w:val="0"/>
        <w:pageBreakBefore w:val="0"/>
        <w:kinsoku/>
        <w:wordWrap/>
        <w:overflowPunct/>
        <w:topLinePunct w:val="0"/>
        <w:autoSpaceDE/>
        <w:autoSpaceDN/>
        <w:bidi w:val="0"/>
        <w:ind w:left="0" w:leftChars="0" w:firstLine="560" w:firstLineChars="200"/>
        <w:rPr>
          <w:rFonts w:hint="default"/>
          <w:sz w:val="28"/>
          <w:szCs w:val="28"/>
          <w:lang w:val="en-US" w:eastAsia="zh-CN"/>
        </w:rPr>
      </w:pPr>
      <w:r>
        <w:rPr>
          <w:rFonts w:hint="default"/>
          <w:sz w:val="28"/>
          <w:szCs w:val="28"/>
          <w:lang w:val="en-US" w:eastAsia="zh-CN"/>
        </w:rPr>
        <w:t>协助采购方开展2026年承诺达标合格证应用及查验、亮证模式探索示范项目相关实施内容，</w:t>
      </w:r>
      <w:r>
        <w:rPr>
          <w:rFonts w:hint="eastAsia"/>
          <w:sz w:val="28"/>
          <w:szCs w:val="28"/>
          <w:lang w:val="en-US" w:eastAsia="zh-CN"/>
        </w:rPr>
        <w:t>配合完成我省</w:t>
      </w:r>
      <w:r>
        <w:rPr>
          <w:rFonts w:hint="default"/>
          <w:sz w:val="28"/>
          <w:szCs w:val="28"/>
          <w:lang w:val="en-US" w:eastAsia="zh-CN"/>
        </w:rPr>
        <w:t>承诺达标合格证应用主体及开具量较上年度增长8%以上</w:t>
      </w:r>
      <w:r>
        <w:rPr>
          <w:rFonts w:hint="eastAsia"/>
          <w:sz w:val="28"/>
          <w:szCs w:val="28"/>
          <w:lang w:val="en-US" w:eastAsia="zh-CN"/>
        </w:rPr>
        <w:t>的目标，并</w:t>
      </w:r>
      <w:r>
        <w:rPr>
          <w:rFonts w:hint="default"/>
          <w:sz w:val="28"/>
          <w:szCs w:val="28"/>
          <w:lang w:val="en-US" w:eastAsia="zh-CN"/>
        </w:rPr>
        <w:t>推动</w:t>
      </w:r>
      <w:r>
        <w:rPr>
          <w:rFonts w:hint="eastAsia"/>
          <w:sz w:val="28"/>
          <w:szCs w:val="28"/>
          <w:lang w:val="en-US" w:eastAsia="zh-CN"/>
        </w:rPr>
        <w:t>一批</w:t>
      </w:r>
      <w:r>
        <w:rPr>
          <w:rFonts w:hint="default"/>
          <w:sz w:val="28"/>
          <w:szCs w:val="28"/>
          <w:lang w:val="en-US" w:eastAsia="zh-CN"/>
        </w:rPr>
        <w:t>食用农产品销售门店亮证出售可溯源农产品，形成示范效应，提升省内农产品质量安全可追溯水平</w:t>
      </w:r>
      <w:r>
        <w:rPr>
          <w:rFonts w:hint="eastAsia"/>
          <w:sz w:val="28"/>
          <w:szCs w:val="28"/>
          <w:lang w:val="en-US" w:eastAsia="zh-CN"/>
        </w:rPr>
        <w:t>。</w:t>
      </w:r>
    </w:p>
    <w:p w14:paraId="0860AFE6">
      <w:pPr>
        <w:keepNext w:val="0"/>
        <w:keepLines w:val="0"/>
        <w:pageBreakBefore w:val="0"/>
        <w:numPr>
          <w:ilvl w:val="0"/>
          <w:numId w:val="1"/>
        </w:numPr>
        <w:kinsoku/>
        <w:wordWrap/>
        <w:overflowPunct/>
        <w:topLinePunct w:val="0"/>
        <w:autoSpaceDE/>
        <w:autoSpaceDN/>
        <w:bidi w:val="0"/>
        <w:rPr>
          <w:rFonts w:hint="default"/>
          <w:sz w:val="28"/>
          <w:szCs w:val="28"/>
          <w:lang w:val="en-US" w:eastAsia="zh-CN"/>
        </w:rPr>
      </w:pPr>
      <w:r>
        <w:rPr>
          <w:rFonts w:hint="eastAsia"/>
          <w:sz w:val="28"/>
          <w:szCs w:val="28"/>
          <w:lang w:val="en-US" w:eastAsia="zh-CN"/>
        </w:rPr>
        <w:t>服务要求：</w:t>
      </w:r>
    </w:p>
    <w:p w14:paraId="1F84FB66">
      <w:pPr>
        <w:keepNext w:val="0"/>
        <w:keepLines w:val="0"/>
        <w:pageBreakBefore w:val="0"/>
        <w:numPr>
          <w:ilvl w:val="0"/>
          <w:numId w:val="0"/>
        </w:numPr>
        <w:kinsoku/>
        <w:wordWrap/>
        <w:overflowPunct/>
        <w:topLinePunct w:val="0"/>
        <w:autoSpaceDE/>
        <w:autoSpaceDN/>
        <w:bidi w:val="0"/>
        <w:ind w:firstLine="560" w:firstLineChars="200"/>
        <w:rPr>
          <w:rFonts w:hint="eastAsia" w:ascii="Times New Roman" w:hAnsi="Times New Roman" w:cs="Times New Roman"/>
          <w:b w:val="0"/>
          <w:bCs w:val="0"/>
          <w:color w:val="000000"/>
          <w:kern w:val="0"/>
          <w:sz w:val="28"/>
          <w:szCs w:val="28"/>
          <w:lang w:val="en-US" w:eastAsia="zh-CN" w:bidi="ar"/>
        </w:rPr>
      </w:pPr>
      <w:r>
        <w:rPr>
          <w:rFonts w:hint="eastAsia" w:ascii="Times New Roman" w:hAnsi="Times New Roman" w:cs="Times New Roman"/>
          <w:b w:val="0"/>
          <w:bCs w:val="0"/>
          <w:color w:val="000000"/>
          <w:kern w:val="0"/>
          <w:sz w:val="28"/>
          <w:szCs w:val="28"/>
          <w:lang w:val="en-US" w:eastAsia="zh-CN" w:bidi="ar"/>
        </w:rPr>
        <w:t>（1）选取不少于2家的食用农产品销售门店作为试点，推动其建立健全食用农产品承诺达标合格证查验、记录、传递制度，完善各环节主体追溯信息，主动亮证销售溯源产品，实现一码溯源产地、流通、销售等全链条追溯信息。</w:t>
      </w:r>
    </w:p>
    <w:p w14:paraId="16E66886">
      <w:pPr>
        <w:keepNext w:val="0"/>
        <w:keepLines w:val="0"/>
        <w:pageBreakBefore w:val="0"/>
        <w:numPr>
          <w:ilvl w:val="0"/>
          <w:numId w:val="0"/>
        </w:numPr>
        <w:kinsoku/>
        <w:wordWrap/>
        <w:overflowPunct/>
        <w:topLinePunct w:val="0"/>
        <w:autoSpaceDE/>
        <w:autoSpaceDN/>
        <w:bidi w:val="0"/>
        <w:ind w:firstLine="560" w:firstLineChars="200"/>
        <w:rPr>
          <w:rFonts w:hint="eastAsia" w:ascii="Times New Roman" w:hAnsi="Times New Roman" w:cs="Times New Roman"/>
          <w:b w:val="0"/>
          <w:bCs w:val="0"/>
          <w:color w:val="000000"/>
          <w:kern w:val="0"/>
          <w:sz w:val="28"/>
          <w:szCs w:val="28"/>
          <w:lang w:val="en-US" w:eastAsia="zh-CN" w:bidi="ar"/>
        </w:rPr>
      </w:pPr>
      <w:r>
        <w:rPr>
          <w:rFonts w:hint="eastAsia" w:ascii="Times New Roman" w:hAnsi="Times New Roman" w:cs="Times New Roman"/>
          <w:b w:val="0"/>
          <w:bCs w:val="0"/>
          <w:color w:val="000000"/>
          <w:kern w:val="0"/>
          <w:sz w:val="28"/>
          <w:szCs w:val="28"/>
          <w:lang w:eastAsia="zh-CN" w:bidi="ar"/>
        </w:rPr>
        <w:t>（</w:t>
      </w:r>
      <w:r>
        <w:rPr>
          <w:rFonts w:hint="eastAsia" w:ascii="Times New Roman" w:hAnsi="Times New Roman" w:cs="Times New Roman"/>
          <w:b w:val="0"/>
          <w:bCs w:val="0"/>
          <w:color w:val="000000"/>
          <w:kern w:val="0"/>
          <w:sz w:val="28"/>
          <w:szCs w:val="28"/>
          <w:lang w:val="en-US" w:eastAsia="zh-CN" w:bidi="ar"/>
        </w:rPr>
        <w:t>2</w:t>
      </w:r>
      <w:r>
        <w:rPr>
          <w:rFonts w:hint="eastAsia" w:ascii="Times New Roman" w:hAnsi="Times New Roman" w:cs="Times New Roman"/>
          <w:b w:val="0"/>
          <w:bCs w:val="0"/>
          <w:color w:val="000000"/>
          <w:kern w:val="0"/>
          <w:sz w:val="28"/>
          <w:szCs w:val="28"/>
          <w:lang w:eastAsia="zh-CN" w:bidi="ar"/>
        </w:rPr>
        <w:t>）开展</w:t>
      </w:r>
      <w:r>
        <w:rPr>
          <w:rFonts w:hint="eastAsia" w:ascii="Times New Roman" w:hAnsi="Times New Roman" w:cs="Times New Roman"/>
          <w:b w:val="0"/>
          <w:bCs w:val="0"/>
          <w:color w:val="000000"/>
          <w:kern w:val="0"/>
          <w:sz w:val="28"/>
          <w:szCs w:val="28"/>
          <w:lang w:val="en-US" w:eastAsia="zh-CN" w:bidi="ar"/>
        </w:rPr>
        <w:t>不少于6期的</w:t>
      </w:r>
      <w:r>
        <w:rPr>
          <w:rFonts w:hint="eastAsia" w:ascii="Times New Roman" w:hAnsi="Times New Roman" w:cs="Times New Roman"/>
          <w:b w:val="0"/>
          <w:bCs w:val="0"/>
          <w:color w:val="000000"/>
          <w:kern w:val="0"/>
          <w:sz w:val="28"/>
          <w:szCs w:val="28"/>
          <w:lang w:eastAsia="zh-CN" w:bidi="ar"/>
        </w:rPr>
        <w:t>“承诺达标合格证背后的故事”系列宣传推广，通过案例来宣传承诺达标合格证背后的主体履行的农产品质量安全责任。</w:t>
      </w:r>
    </w:p>
    <w:p w14:paraId="7866462B">
      <w:pPr>
        <w:keepNext w:val="0"/>
        <w:keepLines w:val="0"/>
        <w:pageBreakBefore w:val="0"/>
        <w:numPr>
          <w:ilvl w:val="0"/>
          <w:numId w:val="0"/>
        </w:numPr>
        <w:kinsoku/>
        <w:wordWrap/>
        <w:overflowPunct/>
        <w:topLinePunct w:val="0"/>
        <w:autoSpaceDE/>
        <w:autoSpaceDN/>
        <w:bidi w:val="0"/>
        <w:ind w:firstLine="560" w:firstLineChars="200"/>
        <w:rPr>
          <w:rFonts w:hint="eastAsia" w:ascii="Times New Roman" w:hAnsi="Times New Roman" w:cs="Times New Roman"/>
          <w:b w:val="0"/>
          <w:bCs w:val="0"/>
          <w:color w:val="000000"/>
          <w:kern w:val="0"/>
          <w:sz w:val="28"/>
          <w:szCs w:val="28"/>
          <w:lang w:val="en-US" w:eastAsia="zh-CN" w:bidi="ar"/>
        </w:rPr>
      </w:pPr>
      <w:r>
        <w:rPr>
          <w:rFonts w:hint="eastAsia" w:ascii="Times New Roman" w:hAnsi="Times New Roman" w:cs="Times New Roman"/>
          <w:b w:val="0"/>
          <w:bCs w:val="0"/>
          <w:color w:val="000000"/>
          <w:kern w:val="0"/>
          <w:sz w:val="28"/>
          <w:szCs w:val="28"/>
          <w:lang w:eastAsia="zh-CN" w:bidi="ar"/>
        </w:rPr>
        <w:t>（</w:t>
      </w:r>
      <w:r>
        <w:rPr>
          <w:rFonts w:hint="eastAsia" w:ascii="Times New Roman" w:hAnsi="Times New Roman" w:cs="Times New Roman"/>
          <w:b w:val="0"/>
          <w:bCs w:val="0"/>
          <w:color w:val="000000"/>
          <w:kern w:val="0"/>
          <w:sz w:val="28"/>
          <w:szCs w:val="28"/>
          <w:lang w:val="en-US" w:eastAsia="zh-CN" w:bidi="ar"/>
        </w:rPr>
        <w:t>3</w:t>
      </w:r>
      <w:r>
        <w:rPr>
          <w:rFonts w:hint="eastAsia" w:ascii="Times New Roman" w:hAnsi="Times New Roman" w:cs="Times New Roman"/>
          <w:b w:val="0"/>
          <w:bCs w:val="0"/>
          <w:color w:val="000000"/>
          <w:kern w:val="0"/>
          <w:sz w:val="28"/>
          <w:szCs w:val="28"/>
          <w:lang w:eastAsia="zh-CN" w:bidi="ar"/>
        </w:rPr>
        <w:t>）</w:t>
      </w:r>
      <w:r>
        <w:rPr>
          <w:rFonts w:hint="default" w:ascii="Times New Roman" w:hAnsi="Times New Roman" w:cs="Times New Roman"/>
          <w:b w:val="0"/>
          <w:bCs w:val="0"/>
          <w:color w:val="000000"/>
          <w:kern w:val="0"/>
          <w:sz w:val="28"/>
          <w:szCs w:val="28"/>
          <w:lang w:bidi="ar"/>
        </w:rPr>
        <w:t>完成</w:t>
      </w:r>
      <w:r>
        <w:rPr>
          <w:rFonts w:hint="eastAsia"/>
          <w:b w:val="0"/>
          <w:bCs w:val="0"/>
          <w:color w:val="000000"/>
          <w:sz w:val="28"/>
          <w:szCs w:val="28"/>
        </w:rPr>
        <w:t>承诺达标合格证</w:t>
      </w:r>
      <w:r>
        <w:rPr>
          <w:rFonts w:hint="default" w:ascii="Times New Roman" w:hAnsi="Times New Roman" w:cs="Times New Roman"/>
          <w:b w:val="0"/>
          <w:bCs w:val="0"/>
          <w:color w:val="000000"/>
          <w:kern w:val="0"/>
          <w:sz w:val="28"/>
          <w:szCs w:val="28"/>
          <w:lang w:bidi="ar"/>
        </w:rPr>
        <w:t>标签管理、技术服务支撑、以及</w:t>
      </w:r>
      <w:r>
        <w:rPr>
          <w:rFonts w:hint="eastAsia" w:cs="Times New Roman"/>
          <w:b w:val="0"/>
          <w:bCs w:val="0"/>
          <w:color w:val="000000"/>
          <w:kern w:val="0"/>
          <w:sz w:val="28"/>
          <w:szCs w:val="28"/>
          <w:lang w:val="en-US" w:eastAsia="zh-CN" w:bidi="ar"/>
        </w:rPr>
        <w:t>相关数据管理应用</w:t>
      </w:r>
      <w:r>
        <w:rPr>
          <w:rFonts w:hint="default" w:ascii="Times New Roman" w:hAnsi="Times New Roman" w:cs="Times New Roman"/>
          <w:b w:val="0"/>
          <w:bCs w:val="0"/>
          <w:color w:val="000000"/>
          <w:kern w:val="0"/>
          <w:sz w:val="28"/>
          <w:szCs w:val="28"/>
          <w:lang w:bidi="ar"/>
        </w:rPr>
        <w:t>支撑。</w:t>
      </w:r>
      <w:r>
        <w:rPr>
          <w:rFonts w:hint="eastAsia" w:ascii="Times New Roman" w:hAnsi="Times New Roman" w:cs="Times New Roman"/>
          <w:b w:val="0"/>
          <w:bCs w:val="0"/>
          <w:color w:val="000000"/>
          <w:kern w:val="0"/>
          <w:sz w:val="28"/>
          <w:szCs w:val="28"/>
          <w:lang w:val="en-US" w:eastAsia="zh-CN" w:bidi="ar"/>
        </w:rPr>
        <w:t>具体包括合格证标签的存放、全省快递发放、库存管理等工作，合格证标签的系统绑码、提供发放标签主体的使用指导等服务，同时做好承诺达标合格证标签和相关宣传资料的派发、签收、激活应用等管理记录，及时收集、整理项目开展过程中所涉及到的相关资料、现场图片等。</w:t>
      </w:r>
    </w:p>
    <w:p w14:paraId="58BEC30D">
      <w:pPr>
        <w:pStyle w:val="4"/>
        <w:ind w:left="0" w:leftChars="0" w:firstLine="0" w:firstLineChars="0"/>
        <w:rPr>
          <w:rFonts w:hint="eastAsia" w:ascii="Times New Roman" w:hAnsi="Times New Roman" w:cs="Times New Roman"/>
          <w:b w:val="0"/>
          <w:bCs w:val="0"/>
          <w:color w:val="000000"/>
          <w:kern w:val="0"/>
          <w:sz w:val="28"/>
          <w:szCs w:val="28"/>
          <w:lang w:val="en-US" w:eastAsia="zh-CN" w:bidi="ar"/>
        </w:rPr>
      </w:pPr>
      <w:r>
        <w:rPr>
          <w:rFonts w:hint="eastAsia" w:ascii="Times New Roman" w:hAnsi="Times New Roman" w:cs="Times New Roman"/>
          <w:b w:val="0"/>
          <w:bCs w:val="0"/>
          <w:color w:val="000000"/>
          <w:kern w:val="0"/>
          <w:sz w:val="28"/>
          <w:szCs w:val="28"/>
          <w:lang w:val="en-US" w:eastAsia="zh-CN" w:bidi="ar"/>
        </w:rPr>
        <w:t>4、其他要求：</w:t>
      </w:r>
    </w:p>
    <w:p w14:paraId="7BF4D750">
      <w:pPr>
        <w:pStyle w:val="2"/>
        <w:ind w:firstLine="560" w:firstLineChars="200"/>
        <w:rPr>
          <w:rFonts w:hint="eastAsia" w:ascii="Times New Roman" w:hAnsi="Times New Roman" w:cs="Times New Roman" w:eastAsiaTheme="minorEastAsia"/>
          <w:b w:val="0"/>
          <w:bCs w:val="0"/>
          <w:color w:val="000000"/>
          <w:kern w:val="0"/>
          <w:sz w:val="28"/>
          <w:szCs w:val="28"/>
          <w:lang w:val="en-US" w:eastAsia="zh-CN" w:bidi="ar"/>
        </w:rPr>
      </w:pPr>
      <w:r>
        <w:rPr>
          <w:rFonts w:hint="eastAsia" w:ascii="Times New Roman" w:hAnsi="Times New Roman" w:cs="Times New Roman" w:eastAsiaTheme="minorEastAsia"/>
          <w:b w:val="0"/>
          <w:bCs w:val="0"/>
          <w:color w:val="000000"/>
          <w:kern w:val="0"/>
          <w:sz w:val="28"/>
          <w:szCs w:val="28"/>
          <w:lang w:val="en-US" w:eastAsia="zh-CN" w:bidi="ar"/>
        </w:rPr>
        <w:t>（1）供应商为本项目配备的团队成员应拥有丰富的农业管理或信息化项目推广经验。</w:t>
      </w:r>
      <w:bookmarkStart w:id="0" w:name="_GoBack"/>
      <w:bookmarkEnd w:id="0"/>
    </w:p>
    <w:p w14:paraId="4C0253B7">
      <w:pPr>
        <w:ind w:firstLine="560" w:firstLineChars="200"/>
        <w:rPr>
          <w:rFonts w:hint="eastAsia" w:ascii="Times New Roman" w:hAnsi="Times New Roman" w:cs="Times New Roman" w:eastAsiaTheme="minorEastAsia"/>
          <w:b w:val="0"/>
          <w:bCs w:val="0"/>
          <w:color w:val="000000"/>
          <w:kern w:val="0"/>
          <w:sz w:val="28"/>
          <w:szCs w:val="28"/>
          <w:lang w:val="en-US" w:eastAsia="zh-CN" w:bidi="ar"/>
        </w:rPr>
      </w:pPr>
      <w:r>
        <w:rPr>
          <w:rFonts w:hint="eastAsia" w:ascii="Times New Roman" w:hAnsi="Times New Roman" w:cs="Times New Roman" w:eastAsiaTheme="minorEastAsia"/>
          <w:b w:val="0"/>
          <w:bCs w:val="0"/>
          <w:color w:val="000000"/>
          <w:kern w:val="0"/>
          <w:sz w:val="28"/>
          <w:szCs w:val="28"/>
          <w:lang w:val="en-US" w:eastAsia="zh-CN" w:bidi="ar"/>
        </w:rPr>
        <w:t>（2）供应商对本项目建设难点的分析、应对策略、总体建议和整体理解情况较为熟悉，具有科学可行的实施运营组织方案。</w:t>
      </w:r>
    </w:p>
    <w:p w14:paraId="3F1802CD">
      <w:pPr>
        <w:pStyle w:val="2"/>
        <w:ind w:firstLine="560" w:firstLineChars="200"/>
        <w:rPr>
          <w:rFonts w:hint="default"/>
          <w:lang w:val="en-US" w:eastAsia="zh-CN"/>
        </w:rPr>
      </w:pPr>
      <w:r>
        <w:rPr>
          <w:rFonts w:hint="eastAsia" w:ascii="Times New Roman" w:hAnsi="Times New Roman" w:cs="Times New Roman"/>
          <w:b w:val="0"/>
          <w:bCs w:val="0"/>
          <w:color w:val="000000"/>
          <w:kern w:val="0"/>
          <w:sz w:val="28"/>
          <w:szCs w:val="28"/>
          <w:lang w:val="en-US" w:eastAsia="zh-CN" w:bidi="ar"/>
        </w:rPr>
        <w:t>（3）供应商有同类项目业绩（开展过承诺达标合格证或者全程追溯应用推广工作等）。</w:t>
      </w:r>
    </w:p>
    <w:p w14:paraId="4004A727">
      <w:pPr>
        <w:pStyle w:val="2"/>
        <w:ind w:firstLine="560" w:firstLineChars="200"/>
        <w:rPr>
          <w:rFonts w:hint="eastAsia" w:ascii="Times New Roman" w:hAnsi="Times New Roman" w:cs="Times New Roman" w:eastAsiaTheme="minorEastAsia"/>
          <w:b w:val="0"/>
          <w:bCs w:val="0"/>
          <w:color w:val="000000"/>
          <w:kern w:val="0"/>
          <w:sz w:val="28"/>
          <w:szCs w:val="28"/>
          <w:lang w:val="en-US" w:eastAsia="zh-CN" w:bidi="ar"/>
        </w:rPr>
      </w:pPr>
      <w:r>
        <w:rPr>
          <w:rFonts w:hint="eastAsia" w:ascii="Times New Roman" w:hAnsi="Times New Roman" w:cs="Times New Roman" w:eastAsiaTheme="minorEastAsia"/>
          <w:b w:val="0"/>
          <w:bCs w:val="0"/>
          <w:color w:val="000000"/>
          <w:kern w:val="0"/>
          <w:sz w:val="28"/>
          <w:szCs w:val="28"/>
          <w:lang w:val="en-US" w:eastAsia="zh-CN" w:bidi="ar"/>
        </w:rPr>
        <w:t>5、交付时间</w:t>
      </w:r>
    </w:p>
    <w:p w14:paraId="2519964C">
      <w:pPr>
        <w:pStyle w:val="2"/>
        <w:ind w:firstLine="560" w:firstLineChars="200"/>
        <w:rPr>
          <w:rFonts w:hint="eastAsia" w:ascii="Times New Roman" w:hAnsi="Times New Roman" w:cs="Times New Roman" w:eastAsiaTheme="minorEastAsia"/>
          <w:b w:val="0"/>
          <w:bCs w:val="0"/>
          <w:color w:val="000000"/>
          <w:kern w:val="0"/>
          <w:sz w:val="28"/>
          <w:szCs w:val="28"/>
          <w:lang w:val="en-US" w:eastAsia="zh-CN" w:bidi="ar"/>
        </w:rPr>
      </w:pPr>
      <w:r>
        <w:rPr>
          <w:rFonts w:hint="eastAsia" w:ascii="Times New Roman" w:hAnsi="Times New Roman" w:cs="Times New Roman" w:eastAsiaTheme="minorEastAsia"/>
          <w:b w:val="0"/>
          <w:bCs w:val="0"/>
          <w:color w:val="000000"/>
          <w:kern w:val="0"/>
          <w:sz w:val="28"/>
          <w:szCs w:val="28"/>
          <w:lang w:val="en-US" w:eastAsia="zh-CN" w:bidi="ar"/>
        </w:rPr>
        <w:t>项目交付或者实施的时间：自合同签订生效之日起至2026年12月31日（以合同约定的时间为准）</w:t>
      </w:r>
    </w:p>
    <w:p w14:paraId="1CEA1D7D">
      <w:pPr>
        <w:pStyle w:val="2"/>
        <w:ind w:firstLine="560" w:firstLineChars="200"/>
        <w:rPr>
          <w:rFonts w:hint="eastAsia" w:ascii="Times New Roman" w:hAnsi="Times New Roman" w:cs="Times New Roman" w:eastAsiaTheme="minorEastAsia"/>
          <w:b w:val="0"/>
          <w:bCs w:val="0"/>
          <w:color w:val="000000"/>
          <w:kern w:val="0"/>
          <w:sz w:val="28"/>
          <w:szCs w:val="28"/>
          <w:lang w:val="en-US" w:eastAsia="zh-CN" w:bidi="ar"/>
        </w:rPr>
      </w:pPr>
      <w:r>
        <w:rPr>
          <w:rFonts w:hint="eastAsia" w:ascii="Times New Roman" w:hAnsi="Times New Roman" w:cs="Times New Roman"/>
          <w:b w:val="0"/>
          <w:bCs w:val="0"/>
          <w:color w:val="000000"/>
          <w:kern w:val="0"/>
          <w:sz w:val="28"/>
          <w:szCs w:val="28"/>
          <w:lang w:val="en-US" w:eastAsia="zh-CN" w:bidi="ar"/>
        </w:rPr>
        <w:t>6、</w:t>
      </w:r>
      <w:r>
        <w:rPr>
          <w:rFonts w:hint="eastAsia" w:ascii="Times New Roman" w:hAnsi="Times New Roman" w:cs="Times New Roman" w:eastAsiaTheme="minorEastAsia"/>
          <w:b w:val="0"/>
          <w:bCs w:val="0"/>
          <w:color w:val="000000"/>
          <w:kern w:val="0"/>
          <w:sz w:val="28"/>
          <w:szCs w:val="28"/>
          <w:lang w:val="en-US" w:eastAsia="zh-CN" w:bidi="ar"/>
        </w:rPr>
        <w:t>验收要求</w:t>
      </w:r>
    </w:p>
    <w:p w14:paraId="72965F1A">
      <w:pPr>
        <w:pStyle w:val="2"/>
        <w:ind w:firstLine="560" w:firstLineChars="200"/>
        <w:rPr>
          <w:rFonts w:hint="eastAsia" w:ascii="Times New Roman" w:hAnsi="Times New Roman" w:cs="Times New Roman" w:eastAsiaTheme="minorEastAsia"/>
          <w:b w:val="0"/>
          <w:bCs w:val="0"/>
          <w:color w:val="000000"/>
          <w:kern w:val="0"/>
          <w:sz w:val="28"/>
          <w:szCs w:val="28"/>
          <w:lang w:val="en-US" w:eastAsia="zh-CN" w:bidi="ar"/>
        </w:rPr>
      </w:pPr>
      <w:r>
        <w:rPr>
          <w:rFonts w:hint="eastAsia" w:ascii="Times New Roman" w:hAnsi="Times New Roman" w:cs="Times New Roman" w:eastAsiaTheme="minorEastAsia"/>
          <w:b w:val="0"/>
          <w:bCs w:val="0"/>
          <w:color w:val="000000"/>
          <w:kern w:val="0"/>
          <w:sz w:val="28"/>
          <w:szCs w:val="28"/>
          <w:lang w:val="en-US" w:eastAsia="zh-CN" w:bidi="ar"/>
        </w:rPr>
        <w:t>全部服务内容完成后，提交相关的总结分析报告，采购人按照合同条款进行验收。</w:t>
      </w:r>
    </w:p>
    <w:p w14:paraId="7DBB5549">
      <w:pPr>
        <w:numPr>
          <w:ilvl w:val="0"/>
          <w:numId w:val="0"/>
        </w:numPr>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A42FFD3"/>
    <w:multiLevelType w:val="singleLevel"/>
    <w:tmpl w:val="EA42FFD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1C310F"/>
    <w:rsid w:val="576F69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rPr>
      <w:sz w:val="24"/>
    </w:rPr>
  </w:style>
  <w:style w:type="paragraph" w:styleId="3">
    <w:name w:val="Body Text Indent"/>
    <w:basedOn w:val="1"/>
    <w:next w:val="4"/>
    <w:qFormat/>
    <w:uiPriority w:val="0"/>
    <w:pPr>
      <w:spacing w:after="120"/>
      <w:ind w:left="420" w:leftChars="200"/>
    </w:pPr>
    <w:rPr>
      <w:szCs w:val="24"/>
    </w:rPr>
  </w:style>
  <w:style w:type="paragraph" w:styleId="4">
    <w:name w:val="Body Text First Indent 2"/>
    <w:basedOn w:val="3"/>
    <w:next w:val="1"/>
    <w:qFormat/>
    <w:uiPriority w:val="0"/>
    <w:pPr>
      <w:spacing w:after="0"/>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686</Words>
  <Characters>701</Characters>
  <Lines>0</Lines>
  <Paragraphs>0</Paragraphs>
  <TotalTime>10</TotalTime>
  <ScaleCrop>false</ScaleCrop>
  <LinksUpToDate>false</LinksUpToDate>
  <CharactersWithSpaces>701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2026-08-17T01:28:00Z</dcterms:created>
  <dc:creator>Bin</dc:creator>
  <cp:lastModifiedBy>Bin</cp:lastModifiedBy>
  <dcterms:modified xsi:type="dcterms:W3CDTF">2026-08-20T07:02:11Z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eyJoZGlkIjoiYzU3MGMyYjQxZWJjM2MxZjQ4OTMyOGNiNjM3NzYxMWUiLCJ1c2VySWQiOiI1Mjk3NjMzOTAifQ==</vt:lpwstr>
  </property>
  <property fmtid="{D5CDD505-2E9C-101B-9397-08002B2CF9AE}" pid="4" name="ICV">
    <vt:lpwstr>3972525CFBA041DC8818A1252ECBA4EA_12</vt:lpwstr>
  </property>
</Properties>
</file>